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051B" w14:textId="77777777" w:rsidR="00375200" w:rsidRPr="00271412" w:rsidRDefault="00375200" w:rsidP="00AF486F">
      <w:pPr>
        <w:pStyle w:val="Title"/>
        <w:spacing w:line="276" w:lineRule="auto"/>
        <w:jc w:val="center"/>
        <w:rPr>
          <w:rFonts w:ascii="Calibri" w:hAnsi="Calibri" w:cs="Calibri"/>
          <w:szCs w:val="40"/>
        </w:rPr>
      </w:pPr>
      <w:r w:rsidRPr="00271412">
        <w:rPr>
          <w:rFonts w:ascii="Calibri" w:hAnsi="Calibri" w:cs="Calibri"/>
          <w:szCs w:val="40"/>
        </w:rPr>
        <w:t>COVID-19 Disability Rights Monitor</w:t>
      </w:r>
    </w:p>
    <w:p w14:paraId="7C13C422" w14:textId="77777777" w:rsidR="00375200" w:rsidRPr="00271412" w:rsidRDefault="00375200" w:rsidP="00AF486F">
      <w:pPr>
        <w:spacing w:line="276" w:lineRule="auto"/>
        <w:rPr>
          <w:rFonts w:ascii="Calibri" w:hAnsi="Calibri" w:cs="Calibri"/>
          <w:sz w:val="40"/>
          <w:szCs w:val="40"/>
        </w:rPr>
      </w:pPr>
      <w:r w:rsidRPr="00271412">
        <w:rPr>
          <w:rFonts w:ascii="Calibri" w:hAnsi="Calibri" w:cs="Calibri"/>
          <w:noProof/>
          <w:sz w:val="40"/>
          <w:szCs w:val="40"/>
        </w:rPr>
        <mc:AlternateContent>
          <mc:Choice Requires="wps">
            <w:drawing>
              <wp:anchor distT="0" distB="0" distL="114300" distR="114300" simplePos="0" relativeHeight="251659264" behindDoc="0" locked="0" layoutInCell="1" allowOverlap="1" wp14:anchorId="02C57D8B" wp14:editId="6D6DFB16">
                <wp:simplePos x="0" y="0"/>
                <wp:positionH relativeFrom="column">
                  <wp:posOffset>2057399</wp:posOffset>
                </wp:positionH>
                <wp:positionV relativeFrom="paragraph">
                  <wp:posOffset>140970</wp:posOffset>
                </wp:positionV>
                <wp:extent cx="1781175" cy="0"/>
                <wp:effectExtent l="0" t="19050" r="28575" b="19050"/>
                <wp:wrapNone/>
                <wp:docPr id="2" name="Straight Connector 2" title="Line (just for design)"/>
                <wp:cNvGraphicFramePr/>
                <a:graphic xmlns:a="http://schemas.openxmlformats.org/drawingml/2006/main">
                  <a:graphicData uri="http://schemas.microsoft.com/office/word/2010/wordprocessingShape">
                    <wps:wsp>
                      <wps:cNvCnPr/>
                      <wps:spPr>
                        <a:xfrm>
                          <a:off x="0" y="0"/>
                          <a:ext cx="1781175" cy="0"/>
                        </a:xfrm>
                        <a:prstGeom prst="line">
                          <a:avLst/>
                        </a:prstGeom>
                        <a:ln w="28575">
                          <a:solidFill>
                            <a:srgbClr val="3B96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E2F8AD7" id="Straight Connector 2" o:spid="_x0000_s1026" alt="Title: Line (just for desig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mc:Fallback>
        </mc:AlternateContent>
      </w:r>
    </w:p>
    <w:p w14:paraId="5C86D779" w14:textId="6FC7C174" w:rsidR="00C47C79" w:rsidRPr="00271412" w:rsidRDefault="00C47C79" w:rsidP="00AF486F">
      <w:pPr>
        <w:pStyle w:val="Title"/>
        <w:spacing w:line="276" w:lineRule="auto"/>
        <w:jc w:val="center"/>
        <w:rPr>
          <w:rFonts w:ascii="Calibri" w:hAnsi="Calibri" w:cs="Calibri"/>
          <w:szCs w:val="40"/>
        </w:rPr>
      </w:pPr>
      <w:r w:rsidRPr="00271412">
        <w:rPr>
          <w:rFonts w:ascii="Calibri" w:hAnsi="Calibri" w:cs="Calibri"/>
          <w:szCs w:val="40"/>
        </w:rPr>
        <w:t xml:space="preserve">Summary – </w:t>
      </w:r>
      <w:r w:rsidR="001C5399" w:rsidRPr="00271412">
        <w:rPr>
          <w:rFonts w:ascii="Calibri" w:hAnsi="Calibri" w:cs="Calibri"/>
          <w:szCs w:val="40"/>
        </w:rPr>
        <w:t>May 25 – 31, 2020</w:t>
      </w:r>
    </w:p>
    <w:p w14:paraId="2D535EBC" w14:textId="77777777" w:rsidR="00C47C79" w:rsidRPr="00271412" w:rsidRDefault="00C47C79" w:rsidP="00AF486F">
      <w:pPr>
        <w:pStyle w:val="Heading1"/>
        <w:numPr>
          <w:ilvl w:val="0"/>
          <w:numId w:val="8"/>
        </w:numPr>
        <w:spacing w:line="276" w:lineRule="auto"/>
        <w:jc w:val="both"/>
        <w:rPr>
          <w:rFonts w:ascii="Calibri" w:hAnsi="Calibri" w:cs="Calibri"/>
          <w:sz w:val="32"/>
        </w:rPr>
      </w:pPr>
      <w:bookmarkStart w:id="0" w:name="_Toc40294497"/>
      <w:r w:rsidRPr="00271412">
        <w:rPr>
          <w:rFonts w:ascii="Calibri" w:hAnsi="Calibri" w:cs="Calibri"/>
          <w:sz w:val="32"/>
        </w:rPr>
        <w:t>Submissions</w:t>
      </w:r>
      <w:bookmarkEnd w:id="0"/>
    </w:p>
    <w:p w14:paraId="21E3C76C" w14:textId="393B5DC9" w:rsidR="00AF486F" w:rsidRPr="00271412" w:rsidRDefault="00C47C79" w:rsidP="00AF486F">
      <w:pPr>
        <w:spacing w:line="276" w:lineRule="auto"/>
        <w:jc w:val="both"/>
        <w:rPr>
          <w:rFonts w:ascii="Calibri" w:hAnsi="Calibri" w:cs="Calibri"/>
          <w:szCs w:val="24"/>
        </w:rPr>
      </w:pPr>
      <w:r w:rsidRPr="00271412">
        <w:rPr>
          <w:rFonts w:ascii="Calibri" w:hAnsi="Calibri" w:cs="Calibri"/>
          <w:szCs w:val="24"/>
        </w:rPr>
        <w:t xml:space="preserve">Total submissions: </w:t>
      </w:r>
      <w:r w:rsidR="001C5399" w:rsidRPr="00271412">
        <w:rPr>
          <w:rFonts w:ascii="Calibri" w:hAnsi="Calibri" w:cs="Calibri"/>
          <w:szCs w:val="24"/>
        </w:rPr>
        <w:t>52</w:t>
      </w:r>
      <w:r w:rsidRPr="00271412">
        <w:rPr>
          <w:rFonts w:ascii="Calibri" w:hAnsi="Calibri" w:cs="Calibri"/>
          <w:szCs w:val="24"/>
        </w:rPr>
        <w:t xml:space="preserve"> (</w:t>
      </w:r>
      <w:r w:rsidR="00375200" w:rsidRPr="00271412">
        <w:rPr>
          <w:rFonts w:ascii="Calibri" w:hAnsi="Calibri" w:cs="Calibri"/>
          <w:szCs w:val="24"/>
        </w:rPr>
        <w:t xml:space="preserve">last week: </w:t>
      </w:r>
      <w:r w:rsidR="007402F6" w:rsidRPr="00271412">
        <w:rPr>
          <w:rFonts w:ascii="Calibri" w:hAnsi="Calibri" w:cs="Calibri"/>
          <w:szCs w:val="24"/>
        </w:rPr>
        <w:t>1</w:t>
      </w:r>
      <w:r w:rsidR="001C5399" w:rsidRPr="00271412">
        <w:rPr>
          <w:rFonts w:ascii="Calibri" w:hAnsi="Calibri" w:cs="Calibri"/>
          <w:szCs w:val="24"/>
        </w:rPr>
        <w:t>07</w:t>
      </w:r>
      <w:r w:rsidR="00375200" w:rsidRPr="00271412">
        <w:rPr>
          <w:rFonts w:ascii="Calibri" w:hAnsi="Calibri" w:cs="Calibri"/>
          <w:szCs w:val="24"/>
        </w:rPr>
        <w:t>)</w:t>
      </w:r>
    </w:p>
    <w:p w14:paraId="7697AB97" w14:textId="59E5AE49" w:rsidR="00271412" w:rsidRPr="00271412" w:rsidRDefault="00C47C79" w:rsidP="00271412">
      <w:pPr>
        <w:pStyle w:val="Heading2"/>
        <w:numPr>
          <w:ilvl w:val="1"/>
          <w:numId w:val="8"/>
        </w:numPr>
        <w:spacing w:line="276" w:lineRule="auto"/>
        <w:jc w:val="both"/>
        <w:rPr>
          <w:rFonts w:ascii="Calibri" w:hAnsi="Calibri" w:cs="Calibri"/>
          <w:szCs w:val="28"/>
        </w:rPr>
      </w:pPr>
      <w:bookmarkStart w:id="1" w:name="_Toc40294498"/>
      <w:r w:rsidRPr="00271412">
        <w:rPr>
          <w:rFonts w:ascii="Calibri" w:hAnsi="Calibri" w:cs="Calibri"/>
          <w:szCs w:val="28"/>
        </w:rPr>
        <w:t xml:space="preserve">Type of </w:t>
      </w:r>
      <w:r w:rsidR="001C5399" w:rsidRPr="00271412">
        <w:rPr>
          <w:rFonts w:ascii="Calibri" w:hAnsi="Calibri" w:cs="Calibri"/>
          <w:szCs w:val="28"/>
          <w:lang w:val="en-US"/>
        </w:rPr>
        <w:t>r</w:t>
      </w:r>
      <w:r w:rsidRPr="00271412">
        <w:rPr>
          <w:rFonts w:ascii="Calibri" w:hAnsi="Calibri" w:cs="Calibri"/>
          <w:szCs w:val="28"/>
          <w:lang w:val="en-US"/>
        </w:rPr>
        <w:t>espond</w:t>
      </w:r>
      <w:r w:rsidR="00271412" w:rsidRPr="00271412">
        <w:rPr>
          <w:rFonts w:ascii="Calibri" w:hAnsi="Calibri" w:cs="Calibri"/>
          <w:szCs w:val="28"/>
          <w:lang w:val="en-US"/>
        </w:rPr>
        <w:t>e</w:t>
      </w:r>
      <w:r w:rsidRPr="00271412">
        <w:rPr>
          <w:rFonts w:ascii="Calibri" w:hAnsi="Calibri" w:cs="Calibri"/>
          <w:szCs w:val="28"/>
          <w:lang w:val="en-US"/>
        </w:rPr>
        <w:t>nts</w:t>
      </w:r>
      <w:bookmarkEnd w:id="1"/>
    </w:p>
    <w:p w14:paraId="4C11D5EA" w14:textId="2B8E5BD7" w:rsidR="00C47C79" w:rsidRPr="00271412" w:rsidRDefault="00271412" w:rsidP="00AF486F">
      <w:pPr>
        <w:spacing w:line="276" w:lineRule="auto"/>
        <w:jc w:val="both"/>
        <w:rPr>
          <w:rFonts w:ascii="Calibri" w:hAnsi="Calibri" w:cs="Calibri"/>
          <w:b/>
          <w:szCs w:val="24"/>
        </w:rPr>
      </w:pPr>
      <w:r w:rsidRPr="00271412">
        <w:rPr>
          <w:rFonts w:ascii="Calibri" w:hAnsi="Calibri" w:cs="Calibri"/>
          <w:b/>
          <w:szCs w:val="24"/>
        </w:rPr>
        <w:t>Individual</w:t>
      </w:r>
      <w:r w:rsidR="00C47C79" w:rsidRPr="00271412">
        <w:rPr>
          <w:rFonts w:ascii="Calibri" w:hAnsi="Calibri" w:cs="Calibri"/>
          <w:b/>
          <w:szCs w:val="24"/>
        </w:rPr>
        <w:t xml:space="preserve">s: </w:t>
      </w:r>
      <w:r w:rsidR="007402F6" w:rsidRPr="00271412">
        <w:rPr>
          <w:rFonts w:ascii="Calibri" w:hAnsi="Calibri" w:cs="Calibri"/>
          <w:b/>
          <w:szCs w:val="24"/>
        </w:rPr>
        <w:t>140</w:t>
      </w:r>
    </w:p>
    <w:p w14:paraId="63485E81" w14:textId="655AB915" w:rsidR="00C47C79" w:rsidRPr="00271412" w:rsidRDefault="00C47C79" w:rsidP="00AF486F">
      <w:pPr>
        <w:spacing w:line="276" w:lineRule="auto"/>
        <w:jc w:val="both"/>
        <w:rPr>
          <w:rFonts w:ascii="Calibri" w:hAnsi="Calibri" w:cs="Calibri"/>
          <w:szCs w:val="24"/>
        </w:rPr>
      </w:pPr>
      <w:r w:rsidRPr="00271412">
        <w:rPr>
          <w:rFonts w:ascii="Calibri" w:hAnsi="Calibri" w:cs="Calibri"/>
          <w:szCs w:val="24"/>
        </w:rPr>
        <w:t xml:space="preserve">Of the </w:t>
      </w:r>
      <w:r w:rsidR="007402F6" w:rsidRPr="00271412">
        <w:rPr>
          <w:rFonts w:ascii="Calibri" w:hAnsi="Calibri" w:cs="Calibri"/>
          <w:szCs w:val="24"/>
        </w:rPr>
        <w:t>140</w:t>
      </w:r>
      <w:r w:rsidRPr="00271412">
        <w:rPr>
          <w:rFonts w:ascii="Calibri" w:hAnsi="Calibri" w:cs="Calibri"/>
          <w:szCs w:val="24"/>
        </w:rPr>
        <w:t xml:space="preserve"> respondents, </w:t>
      </w:r>
      <w:r w:rsidR="001C5399" w:rsidRPr="00271412">
        <w:rPr>
          <w:rFonts w:ascii="Calibri" w:hAnsi="Calibri" w:cs="Calibri"/>
          <w:szCs w:val="24"/>
        </w:rPr>
        <w:t>27</w:t>
      </w:r>
      <w:r w:rsidRPr="00271412">
        <w:rPr>
          <w:rFonts w:ascii="Calibri" w:hAnsi="Calibri" w:cs="Calibri"/>
          <w:szCs w:val="24"/>
        </w:rPr>
        <w:t xml:space="preserve"> are women, </w:t>
      </w:r>
      <w:r w:rsidR="001C5399" w:rsidRPr="00271412">
        <w:rPr>
          <w:rFonts w:ascii="Calibri" w:hAnsi="Calibri" w:cs="Calibri"/>
          <w:szCs w:val="24"/>
        </w:rPr>
        <w:t>22</w:t>
      </w:r>
      <w:r w:rsidRPr="00271412">
        <w:rPr>
          <w:rFonts w:ascii="Calibri" w:hAnsi="Calibri" w:cs="Calibri"/>
          <w:szCs w:val="24"/>
        </w:rPr>
        <w:t xml:space="preserve"> men and </w:t>
      </w:r>
      <w:r w:rsidR="001C5399" w:rsidRPr="00271412">
        <w:rPr>
          <w:rFonts w:ascii="Calibri" w:hAnsi="Calibri" w:cs="Calibri"/>
          <w:szCs w:val="24"/>
        </w:rPr>
        <w:t>1</w:t>
      </w:r>
      <w:r w:rsidRPr="00271412">
        <w:rPr>
          <w:rFonts w:ascii="Calibri" w:hAnsi="Calibri" w:cs="Calibri"/>
          <w:szCs w:val="24"/>
        </w:rPr>
        <w:t xml:space="preserve"> preferred not to disclose or selected other. They identified themselves as:</w:t>
      </w:r>
    </w:p>
    <w:p w14:paraId="16D79722" w14:textId="77777777" w:rsidR="004E1B77" w:rsidRPr="00271412" w:rsidRDefault="004E1B77" w:rsidP="004E1B77">
      <w:pPr>
        <w:numPr>
          <w:ilvl w:val="0"/>
          <w:numId w:val="3"/>
        </w:numPr>
        <w:spacing w:line="276" w:lineRule="auto"/>
        <w:jc w:val="both"/>
        <w:rPr>
          <w:rFonts w:ascii="Calibri" w:hAnsi="Calibri" w:cs="Calibri"/>
          <w:szCs w:val="24"/>
          <w:lang w:val="en-GB"/>
        </w:rPr>
      </w:pPr>
      <w:r w:rsidRPr="00271412">
        <w:rPr>
          <w:rFonts w:ascii="Calibri" w:hAnsi="Calibri" w:cs="Calibri"/>
          <w:szCs w:val="24"/>
          <w:lang w:val="en-GB"/>
        </w:rPr>
        <w:t>Persons with disabilities</w:t>
      </w:r>
      <w:r w:rsidRPr="00271412">
        <w:rPr>
          <w:rFonts w:ascii="Calibri" w:hAnsi="Calibri" w:cs="Calibri"/>
          <w:szCs w:val="24"/>
          <w:lang w:val="en-GB"/>
        </w:rPr>
        <w:tab/>
        <w:t xml:space="preserve">22 – 44% </w:t>
      </w:r>
    </w:p>
    <w:p w14:paraId="67CDA447" w14:textId="77777777" w:rsidR="004E1B77" w:rsidRPr="00271412" w:rsidRDefault="004E1B77" w:rsidP="004E1B77">
      <w:pPr>
        <w:numPr>
          <w:ilvl w:val="0"/>
          <w:numId w:val="3"/>
        </w:numPr>
        <w:spacing w:line="276" w:lineRule="auto"/>
        <w:jc w:val="both"/>
        <w:rPr>
          <w:rFonts w:ascii="Calibri" w:hAnsi="Calibri" w:cs="Calibri"/>
          <w:szCs w:val="24"/>
          <w:lang w:val="en-GB"/>
        </w:rPr>
      </w:pPr>
      <w:r w:rsidRPr="00271412">
        <w:rPr>
          <w:rFonts w:ascii="Calibri" w:hAnsi="Calibri" w:cs="Calibri"/>
          <w:szCs w:val="24"/>
          <w:lang w:val="en-GB"/>
        </w:rPr>
        <w:t>DPOs</w:t>
      </w:r>
      <w:r w:rsidRPr="00271412">
        <w:rPr>
          <w:rFonts w:ascii="Calibri" w:hAnsi="Calibri" w:cs="Calibri"/>
          <w:szCs w:val="24"/>
          <w:lang w:val="en-GB"/>
        </w:rPr>
        <w:tab/>
      </w:r>
      <w:r w:rsidRPr="00271412">
        <w:rPr>
          <w:rFonts w:ascii="Calibri" w:hAnsi="Calibri" w:cs="Calibri"/>
          <w:szCs w:val="24"/>
          <w:lang w:val="en-GB"/>
        </w:rPr>
        <w:tab/>
      </w:r>
      <w:r w:rsidRPr="00271412">
        <w:rPr>
          <w:rFonts w:ascii="Calibri" w:hAnsi="Calibri" w:cs="Calibri"/>
          <w:szCs w:val="24"/>
          <w:lang w:val="en-GB"/>
        </w:rPr>
        <w:tab/>
      </w:r>
      <w:r w:rsidRPr="00271412">
        <w:rPr>
          <w:rFonts w:ascii="Calibri" w:hAnsi="Calibri" w:cs="Calibri"/>
          <w:szCs w:val="24"/>
          <w:lang w:val="en-GB"/>
        </w:rPr>
        <w:tab/>
        <w:t xml:space="preserve">15 – 34% </w:t>
      </w:r>
    </w:p>
    <w:p w14:paraId="57242915" w14:textId="77777777" w:rsidR="004E1B77" w:rsidRPr="00271412" w:rsidRDefault="004E1B77" w:rsidP="004E1B77">
      <w:pPr>
        <w:numPr>
          <w:ilvl w:val="0"/>
          <w:numId w:val="3"/>
        </w:numPr>
        <w:spacing w:line="276" w:lineRule="auto"/>
        <w:jc w:val="both"/>
        <w:rPr>
          <w:rFonts w:ascii="Calibri" w:hAnsi="Calibri" w:cs="Calibri"/>
          <w:szCs w:val="24"/>
          <w:lang w:val="en-GB"/>
        </w:rPr>
      </w:pPr>
      <w:r w:rsidRPr="00271412">
        <w:rPr>
          <w:rFonts w:ascii="Calibri" w:hAnsi="Calibri" w:cs="Calibri"/>
          <w:szCs w:val="24"/>
          <w:lang w:val="en-GB"/>
        </w:rPr>
        <w:t>Other</w:t>
      </w:r>
      <w:r w:rsidRPr="00271412">
        <w:rPr>
          <w:rFonts w:ascii="Calibri" w:hAnsi="Calibri" w:cs="Calibri"/>
          <w:szCs w:val="24"/>
          <w:lang w:val="en-GB"/>
        </w:rPr>
        <w:tab/>
      </w:r>
      <w:r w:rsidRPr="00271412">
        <w:rPr>
          <w:rFonts w:ascii="Calibri" w:hAnsi="Calibri" w:cs="Calibri"/>
          <w:szCs w:val="24"/>
          <w:lang w:val="en-GB"/>
        </w:rPr>
        <w:tab/>
      </w:r>
      <w:r w:rsidRPr="00271412">
        <w:rPr>
          <w:rFonts w:ascii="Calibri" w:hAnsi="Calibri" w:cs="Calibri"/>
          <w:szCs w:val="24"/>
          <w:lang w:val="en-GB"/>
        </w:rPr>
        <w:tab/>
      </w:r>
      <w:r w:rsidRPr="00271412">
        <w:rPr>
          <w:rFonts w:ascii="Calibri" w:hAnsi="Calibri" w:cs="Calibri"/>
          <w:szCs w:val="24"/>
          <w:lang w:val="en-GB"/>
        </w:rPr>
        <w:tab/>
        <w:t xml:space="preserve">6 – 12 % </w:t>
      </w:r>
    </w:p>
    <w:p w14:paraId="2148FD0C" w14:textId="77777777" w:rsidR="004E1B77" w:rsidRPr="00271412" w:rsidRDefault="004E1B77" w:rsidP="004E1B77">
      <w:pPr>
        <w:numPr>
          <w:ilvl w:val="0"/>
          <w:numId w:val="3"/>
        </w:numPr>
        <w:spacing w:line="276" w:lineRule="auto"/>
        <w:jc w:val="both"/>
        <w:rPr>
          <w:rFonts w:ascii="Calibri" w:hAnsi="Calibri" w:cs="Calibri"/>
          <w:szCs w:val="24"/>
          <w:lang w:val="en-GB"/>
        </w:rPr>
      </w:pPr>
      <w:r w:rsidRPr="00271412">
        <w:rPr>
          <w:rFonts w:ascii="Calibri" w:hAnsi="Calibri" w:cs="Calibri"/>
          <w:szCs w:val="24"/>
          <w:lang w:val="en-GB"/>
        </w:rPr>
        <w:t>Family member</w:t>
      </w:r>
      <w:r w:rsidRPr="00271412">
        <w:rPr>
          <w:rFonts w:ascii="Calibri" w:hAnsi="Calibri" w:cs="Calibri"/>
          <w:szCs w:val="24"/>
          <w:lang w:val="en-GB"/>
        </w:rPr>
        <w:tab/>
      </w:r>
      <w:r w:rsidRPr="00271412">
        <w:rPr>
          <w:rFonts w:ascii="Calibri" w:hAnsi="Calibri" w:cs="Calibri"/>
          <w:szCs w:val="24"/>
          <w:lang w:val="en-GB"/>
        </w:rPr>
        <w:tab/>
        <w:t xml:space="preserve">5 – 10% </w:t>
      </w:r>
    </w:p>
    <w:p w14:paraId="5D8BBD53" w14:textId="77777777" w:rsidR="001C1A52" w:rsidRPr="00C06CCA" w:rsidRDefault="001C1A52" w:rsidP="001C1A52">
      <w:pPr>
        <w:rPr>
          <w:rFonts w:asciiTheme="minorHAnsi" w:hAnsiTheme="minorHAnsi" w:cstheme="minorHAnsi"/>
        </w:rPr>
      </w:pPr>
      <w:r w:rsidRPr="00B10FB6">
        <w:rPr>
          <w:rFonts w:asciiTheme="minorHAnsi" w:hAnsiTheme="minorHAnsi" w:cstheme="minorHAnsi"/>
        </w:rPr>
        <w:t>The category “other” include</w:t>
      </w:r>
      <w:r>
        <w:rPr>
          <w:rFonts w:asciiTheme="minorHAnsi" w:hAnsiTheme="minorHAnsi" w:cstheme="minorHAnsi"/>
        </w:rPr>
        <w:t xml:space="preserve">s researchers, a consultant working on inclusion, a social worker, and an employment agency for persons with disabilities. </w:t>
      </w:r>
    </w:p>
    <w:p w14:paraId="54EB0499" w14:textId="77777777" w:rsidR="001C1A52" w:rsidRDefault="001C1A52" w:rsidP="001C1A52">
      <w:pPr>
        <w:rPr>
          <w:rFonts w:asciiTheme="minorHAnsi" w:hAnsiTheme="minorHAnsi" w:cstheme="minorHAnsi"/>
          <w:color w:val="000000" w:themeColor="text1"/>
        </w:rPr>
      </w:pPr>
      <w:r>
        <w:rPr>
          <w:rFonts w:asciiTheme="minorHAnsi" w:hAnsiTheme="minorHAnsi" w:cstheme="minorHAnsi"/>
          <w:color w:val="000000" w:themeColor="text1"/>
        </w:rPr>
        <w:t>Further, 32 people responded they live in the community, while 1</w:t>
      </w:r>
      <w:r w:rsidRPr="00B10FB6">
        <w:rPr>
          <w:rFonts w:asciiTheme="minorHAnsi" w:hAnsiTheme="minorHAnsi" w:cstheme="minorHAnsi"/>
          <w:color w:val="000000" w:themeColor="text1"/>
        </w:rPr>
        <w:t xml:space="preserve"> pe</w:t>
      </w:r>
      <w:r>
        <w:rPr>
          <w:rFonts w:asciiTheme="minorHAnsi" w:hAnsiTheme="minorHAnsi" w:cstheme="minorHAnsi"/>
          <w:color w:val="000000" w:themeColor="text1"/>
        </w:rPr>
        <w:t>rson</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noted</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that</w:t>
      </w:r>
      <w:r w:rsidRPr="00B10FB6">
        <w:rPr>
          <w:rFonts w:asciiTheme="minorHAnsi" w:hAnsiTheme="minorHAnsi" w:cstheme="minorHAnsi"/>
          <w:color w:val="000000" w:themeColor="text1"/>
        </w:rPr>
        <w:t xml:space="preserve"> they live in an institution. </w:t>
      </w:r>
      <w:r>
        <w:rPr>
          <w:rFonts w:asciiTheme="minorHAnsi" w:hAnsiTheme="minorHAnsi" w:cstheme="minorHAnsi"/>
          <w:color w:val="000000" w:themeColor="text1"/>
        </w:rPr>
        <w:t xml:space="preserve">The one person living in an institution stated it is a </w:t>
      </w:r>
      <w:r w:rsidRPr="00994585">
        <w:rPr>
          <w:rFonts w:asciiTheme="minorHAnsi" w:hAnsiTheme="minorHAnsi" w:cstheme="minorHAnsi"/>
          <w:color w:val="000000" w:themeColor="text1"/>
        </w:rPr>
        <w:t>hospital mental health ward, with one dormitory and one other room only</w:t>
      </w:r>
      <w:r>
        <w:rPr>
          <w:rFonts w:asciiTheme="minorHAnsi" w:hAnsiTheme="minorHAnsi" w:cstheme="minorHAnsi"/>
          <w:color w:val="000000" w:themeColor="text1"/>
        </w:rPr>
        <w:t xml:space="preserve"> for the 12 people living there currently. </w:t>
      </w:r>
    </w:p>
    <w:p w14:paraId="571C4D8D" w14:textId="77777777" w:rsidR="001C1A52" w:rsidRPr="00BF0984" w:rsidRDefault="001C1A52" w:rsidP="001C1A52">
      <w:pPr>
        <w:ind w:left="1440" w:hanging="1440"/>
        <w:rPr>
          <w:rFonts w:asciiTheme="minorHAnsi" w:hAnsiTheme="minorHAnsi" w:cstheme="minorHAnsi"/>
          <w:b/>
          <w:sz w:val="12"/>
          <w:szCs w:val="12"/>
        </w:rPr>
      </w:pPr>
    </w:p>
    <w:p w14:paraId="73D8109B" w14:textId="77777777" w:rsidR="001C1A52" w:rsidRDefault="001C1A52" w:rsidP="001C1A52">
      <w:pPr>
        <w:rPr>
          <w:rFonts w:asciiTheme="minorHAnsi" w:hAnsiTheme="minorHAnsi" w:cstheme="minorHAnsi"/>
          <w:color w:val="000000" w:themeColor="text1"/>
        </w:rPr>
      </w:pPr>
      <w:r>
        <w:rPr>
          <w:rFonts w:asciiTheme="minorHAnsi" w:hAnsiTheme="minorHAnsi" w:cstheme="minorHAnsi"/>
          <w:b/>
        </w:rPr>
        <w:t xml:space="preserve">Government and </w:t>
      </w:r>
      <w:r w:rsidRPr="00B10FB6">
        <w:rPr>
          <w:rFonts w:asciiTheme="minorHAnsi" w:hAnsiTheme="minorHAnsi" w:cstheme="minorHAnsi"/>
          <w:b/>
        </w:rPr>
        <w:t>N</w:t>
      </w:r>
      <w:r>
        <w:rPr>
          <w:rFonts w:asciiTheme="minorHAnsi" w:hAnsiTheme="minorHAnsi" w:cstheme="minorHAnsi"/>
          <w:b/>
        </w:rPr>
        <w:t xml:space="preserve">ational </w:t>
      </w:r>
      <w:r w:rsidRPr="00B10FB6">
        <w:rPr>
          <w:rFonts w:asciiTheme="minorHAnsi" w:hAnsiTheme="minorHAnsi" w:cstheme="minorHAnsi"/>
          <w:b/>
        </w:rPr>
        <w:t>H</w:t>
      </w:r>
      <w:r>
        <w:rPr>
          <w:rFonts w:asciiTheme="minorHAnsi" w:hAnsiTheme="minorHAnsi" w:cstheme="minorHAnsi"/>
          <w:b/>
        </w:rPr>
        <w:t xml:space="preserve">uman </w:t>
      </w:r>
      <w:r w:rsidRPr="00B10FB6">
        <w:rPr>
          <w:rFonts w:asciiTheme="minorHAnsi" w:hAnsiTheme="minorHAnsi" w:cstheme="minorHAnsi"/>
          <w:b/>
        </w:rPr>
        <w:t>R</w:t>
      </w:r>
      <w:r>
        <w:rPr>
          <w:rFonts w:asciiTheme="minorHAnsi" w:hAnsiTheme="minorHAnsi" w:cstheme="minorHAnsi"/>
          <w:b/>
        </w:rPr>
        <w:t xml:space="preserve">ights </w:t>
      </w:r>
      <w:r w:rsidRPr="006D0871">
        <w:rPr>
          <w:rFonts w:asciiTheme="minorHAnsi" w:hAnsiTheme="minorHAnsi" w:cstheme="minorHAnsi"/>
          <w:b/>
        </w:rPr>
        <w:t xml:space="preserve">Institutions – </w:t>
      </w:r>
      <w:r>
        <w:rPr>
          <w:rFonts w:asciiTheme="minorHAnsi" w:hAnsiTheme="minorHAnsi" w:cstheme="minorHAnsi"/>
          <w:b/>
          <w:color w:val="000000" w:themeColor="text1"/>
        </w:rPr>
        <w:t>0</w:t>
      </w:r>
      <w:r w:rsidRPr="006D0871">
        <w:rPr>
          <w:rFonts w:asciiTheme="minorHAnsi" w:hAnsiTheme="minorHAnsi" w:cstheme="minorHAnsi"/>
          <w:b/>
          <w:color w:val="000000" w:themeColor="text1"/>
        </w:rPr>
        <w:t xml:space="preserve"> </w:t>
      </w:r>
      <w:r w:rsidRPr="00B10FB6">
        <w:rPr>
          <w:rFonts w:asciiTheme="minorHAnsi" w:hAnsiTheme="minorHAnsi" w:cstheme="minorHAnsi"/>
          <w:color w:val="000000" w:themeColor="text1"/>
        </w:rPr>
        <w:tab/>
      </w:r>
    </w:p>
    <w:p w14:paraId="43020A36" w14:textId="77777777" w:rsidR="001C1A52" w:rsidRPr="006C490D" w:rsidRDefault="001C1A52" w:rsidP="001C1A52">
      <w:pPr>
        <w:pStyle w:val="ListParagraph"/>
        <w:rPr>
          <w:rFonts w:cstheme="minorHAnsi"/>
          <w:color w:val="000000" w:themeColor="text1"/>
          <w:sz w:val="24"/>
          <w:lang w:val="en-US"/>
        </w:rPr>
      </w:pPr>
      <w:bookmarkStart w:id="2" w:name="_Toc40294499"/>
    </w:p>
    <w:p w14:paraId="404E95DB" w14:textId="77777777" w:rsidR="001C1A52" w:rsidRPr="00C06CCA" w:rsidRDefault="001C1A52" w:rsidP="001C1A52">
      <w:pPr>
        <w:pStyle w:val="Heading2"/>
        <w:numPr>
          <w:ilvl w:val="1"/>
          <w:numId w:val="8"/>
        </w:numPr>
        <w:ind w:left="1080" w:hanging="720"/>
      </w:pPr>
      <w:proofErr w:type="spellStart"/>
      <w:r w:rsidRPr="00C06CCA">
        <w:t>Submissions</w:t>
      </w:r>
      <w:proofErr w:type="spellEnd"/>
      <w:r w:rsidRPr="00C06CCA">
        <w:t xml:space="preserve"> per country</w:t>
      </w:r>
      <w:bookmarkEnd w:id="2"/>
    </w:p>
    <w:p w14:paraId="21D7BD0A" w14:textId="77777777" w:rsidR="001C1A52" w:rsidRPr="00BF0984" w:rsidRDefault="001C1A52" w:rsidP="001C1A52">
      <w:pPr>
        <w:rPr>
          <w:rFonts w:asciiTheme="minorHAnsi" w:hAnsiTheme="minorHAnsi" w:cstheme="minorHAnsi"/>
          <w:sz w:val="12"/>
          <w:szCs w:val="12"/>
        </w:rPr>
      </w:pPr>
    </w:p>
    <w:p w14:paraId="6C7BF13C" w14:textId="1FAC2A13" w:rsidR="001C1A52" w:rsidRDefault="001C1A52" w:rsidP="001C1A52">
      <w:pPr>
        <w:rPr>
          <w:rFonts w:asciiTheme="minorHAnsi" w:hAnsiTheme="minorHAnsi" w:cstheme="minorHAnsi"/>
          <w:color w:val="000000" w:themeColor="text1"/>
        </w:rPr>
      </w:pPr>
      <w:r w:rsidRPr="00B10FB6">
        <w:rPr>
          <w:rFonts w:asciiTheme="minorHAnsi" w:hAnsiTheme="minorHAnsi" w:cstheme="minorHAnsi"/>
        </w:rPr>
        <w:t xml:space="preserve">In the week </w:t>
      </w:r>
      <w:r>
        <w:rPr>
          <w:rFonts w:asciiTheme="minorHAnsi" w:hAnsiTheme="minorHAnsi" w:cstheme="minorHAnsi"/>
        </w:rPr>
        <w:t>25 May</w:t>
      </w:r>
      <w:r w:rsidRPr="00B10FB6">
        <w:rPr>
          <w:rFonts w:asciiTheme="minorHAnsi" w:hAnsiTheme="minorHAnsi" w:cstheme="minorHAnsi"/>
        </w:rPr>
        <w:t xml:space="preserve"> – </w:t>
      </w:r>
      <w:r>
        <w:rPr>
          <w:rFonts w:asciiTheme="minorHAnsi" w:hAnsiTheme="minorHAnsi" w:cstheme="minorHAnsi"/>
        </w:rPr>
        <w:t>31</w:t>
      </w:r>
      <w:r w:rsidRPr="00B10FB6">
        <w:rPr>
          <w:rFonts w:asciiTheme="minorHAnsi" w:hAnsiTheme="minorHAnsi" w:cstheme="minorHAnsi"/>
        </w:rPr>
        <w:t xml:space="preserve"> </w:t>
      </w:r>
      <w:r>
        <w:rPr>
          <w:rFonts w:asciiTheme="minorHAnsi" w:hAnsiTheme="minorHAnsi" w:cstheme="minorHAnsi"/>
        </w:rPr>
        <w:t>May</w:t>
      </w:r>
      <w:r w:rsidRPr="00B10FB6">
        <w:rPr>
          <w:rFonts w:asciiTheme="minorHAnsi" w:hAnsiTheme="minorHAnsi" w:cstheme="minorHAnsi"/>
        </w:rPr>
        <w:t xml:space="preserve">, there were submissions from </w:t>
      </w:r>
      <w:r>
        <w:rPr>
          <w:rFonts w:asciiTheme="minorHAnsi" w:hAnsiTheme="minorHAnsi" w:cstheme="minorHAnsi"/>
        </w:rPr>
        <w:t>25</w:t>
      </w:r>
      <w:r w:rsidRPr="00B10FB6">
        <w:rPr>
          <w:rFonts w:asciiTheme="minorHAnsi" w:hAnsiTheme="minorHAnsi" w:cstheme="minorHAnsi"/>
        </w:rPr>
        <w:t xml:space="preserve"> countries. </w:t>
      </w:r>
      <w:r>
        <w:rPr>
          <w:rFonts w:asciiTheme="minorHAnsi" w:hAnsiTheme="minorHAnsi" w:cstheme="minorHAnsi"/>
        </w:rPr>
        <w:t xml:space="preserve">Fifteen of the 24 countries only had one respondent per country. Only on country, South Africa, had more than 3 respondents. </w:t>
      </w:r>
      <w:r w:rsidRPr="00B10FB6">
        <w:rPr>
          <w:rFonts w:asciiTheme="minorHAnsi" w:hAnsiTheme="minorHAnsi" w:cstheme="minorHAnsi"/>
        </w:rPr>
        <w:t xml:space="preserve">Countries with most responses </w:t>
      </w:r>
      <w:r>
        <w:rPr>
          <w:rFonts w:asciiTheme="minorHAnsi" w:hAnsiTheme="minorHAnsi" w:cstheme="minorHAnsi"/>
          <w:color w:val="000000" w:themeColor="text1"/>
        </w:rPr>
        <w:t>for this week</w:t>
      </w:r>
      <w:r w:rsidRPr="00B10FB6">
        <w:rPr>
          <w:rFonts w:asciiTheme="minorHAnsi" w:hAnsiTheme="minorHAnsi" w:cstheme="minorHAnsi"/>
          <w:color w:val="000000" w:themeColor="text1"/>
        </w:rPr>
        <w:t xml:space="preserve"> are </w:t>
      </w:r>
      <w:r>
        <w:rPr>
          <w:rFonts w:asciiTheme="minorHAnsi" w:hAnsiTheme="minorHAnsi" w:cstheme="minorHAnsi"/>
          <w:color w:val="000000" w:themeColor="text1"/>
        </w:rPr>
        <w:t xml:space="preserve">South Africa </w:t>
      </w:r>
      <w:r w:rsidRPr="00B10FB6">
        <w:rPr>
          <w:rFonts w:asciiTheme="minorHAnsi" w:hAnsiTheme="minorHAnsi" w:cstheme="minorHAnsi"/>
          <w:color w:val="000000" w:themeColor="text1"/>
        </w:rPr>
        <w:t>(</w:t>
      </w:r>
      <w:r>
        <w:rPr>
          <w:rFonts w:asciiTheme="minorHAnsi" w:hAnsiTheme="minorHAnsi" w:cstheme="minorHAnsi"/>
          <w:color w:val="000000" w:themeColor="text1"/>
        </w:rPr>
        <w:t>15</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Austria, France, United States </w:t>
      </w:r>
      <w:r w:rsidRPr="00B10FB6">
        <w:rPr>
          <w:rFonts w:asciiTheme="minorHAnsi" w:hAnsiTheme="minorHAnsi" w:cstheme="minorHAnsi"/>
          <w:color w:val="000000" w:themeColor="text1"/>
        </w:rPr>
        <w:t>(</w:t>
      </w:r>
      <w:r>
        <w:rPr>
          <w:rFonts w:asciiTheme="minorHAnsi" w:hAnsiTheme="minorHAnsi" w:cstheme="minorHAnsi"/>
          <w:color w:val="000000" w:themeColor="text1"/>
        </w:rPr>
        <w:t>3 each</w:t>
      </w:r>
      <w:r w:rsidRPr="00B10FB6">
        <w:rPr>
          <w:rFonts w:asciiTheme="minorHAnsi" w:hAnsiTheme="minorHAnsi" w:cstheme="minorHAnsi"/>
          <w:color w:val="000000" w:themeColor="text1"/>
        </w:rPr>
        <w:t xml:space="preserve">) and </w:t>
      </w:r>
      <w:r>
        <w:rPr>
          <w:rFonts w:asciiTheme="minorHAnsi" w:hAnsiTheme="minorHAnsi" w:cstheme="minorHAnsi"/>
          <w:color w:val="000000" w:themeColor="text1"/>
        </w:rPr>
        <w:t>Germany, United Kingdom, Nepal, Uganda, and Uzbekistan</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2 each</w:t>
      </w:r>
      <w:r w:rsidRPr="00B10FB6">
        <w:rPr>
          <w:rFonts w:asciiTheme="minorHAnsi" w:hAnsiTheme="minorHAnsi" w:cstheme="minorHAnsi"/>
          <w:color w:val="000000" w:themeColor="text1"/>
        </w:rPr>
        <w:t>).</w:t>
      </w:r>
      <w:r>
        <w:rPr>
          <w:rFonts w:asciiTheme="minorHAnsi" w:hAnsiTheme="minorHAnsi" w:cstheme="minorHAnsi"/>
          <w:color w:val="000000" w:themeColor="text1"/>
        </w:rPr>
        <w:t xml:space="preserve"> The table below lists the 9 countries with the most respondents. </w:t>
      </w:r>
    </w:p>
    <w:p w14:paraId="69E28B5F" w14:textId="77777777" w:rsidR="001C1A52" w:rsidRDefault="001C1A52" w:rsidP="001C1A52">
      <w:pPr>
        <w:rPr>
          <w:rFonts w:asciiTheme="minorHAnsi" w:hAnsiTheme="minorHAnsi" w:cstheme="minorHAnsi"/>
          <w:color w:val="000000" w:themeColor="text1"/>
        </w:rPr>
      </w:pPr>
    </w:p>
    <w:p w14:paraId="3309B007" w14:textId="31F5D052" w:rsidR="001C1A52" w:rsidRDefault="001C1A52" w:rsidP="001C1A52">
      <w:pPr>
        <w:rPr>
          <w:rFonts w:asciiTheme="minorHAnsi" w:hAnsiTheme="minorHAnsi" w:cstheme="minorHAnsi"/>
          <w:color w:val="000000" w:themeColor="text1"/>
        </w:rPr>
      </w:pPr>
      <w:r>
        <w:rPr>
          <w:rFonts w:asciiTheme="minorHAnsi" w:hAnsiTheme="minorHAnsi" w:cstheme="minorHAnsi"/>
          <w:color w:val="000000" w:themeColor="text1"/>
        </w:rPr>
        <w:t xml:space="preserve">For those with screen readers, the first column of the table below contains the ranking of the countries based on the number of respondents from each respective country. The second and third columns contain the name of the country and the abbreviation of the country name. The </w:t>
      </w:r>
      <w:r>
        <w:rPr>
          <w:rFonts w:asciiTheme="minorHAnsi" w:hAnsiTheme="minorHAnsi" w:cstheme="minorHAnsi"/>
          <w:color w:val="000000" w:themeColor="text1"/>
        </w:rPr>
        <w:lastRenderedPageBreak/>
        <w:t xml:space="preserve">final column lists the number of responses from each respective country. </w:t>
      </w:r>
      <w:r w:rsidR="00D458C7">
        <w:rPr>
          <w:rFonts w:asciiTheme="minorHAnsi" w:hAnsiTheme="minorHAnsi" w:cstheme="minorHAnsi"/>
          <w:color w:val="000000" w:themeColor="text1"/>
        </w:rPr>
        <w:t xml:space="preserve">A bar graph below the table provides the information in another format. </w:t>
      </w:r>
    </w:p>
    <w:p w14:paraId="15B2C154" w14:textId="77777777" w:rsidR="001C1A52" w:rsidRPr="00BF0984" w:rsidRDefault="001C1A52" w:rsidP="001C1A52">
      <w:pPr>
        <w:rPr>
          <w:rFonts w:asciiTheme="minorHAnsi" w:hAnsiTheme="minorHAnsi" w:cstheme="minorHAnsi"/>
          <w:color w:val="000000" w:themeColor="text1"/>
          <w:sz w:val="12"/>
          <w:szCs w:val="12"/>
        </w:rPr>
      </w:pPr>
    </w:p>
    <w:tbl>
      <w:tblPr>
        <w:tblStyle w:val="GridTable5Dark-Accent4"/>
        <w:tblW w:w="7488" w:type="dxa"/>
        <w:tblInd w:w="720" w:type="dxa"/>
        <w:tblLook w:val="04A0" w:firstRow="1" w:lastRow="0" w:firstColumn="1" w:lastColumn="0" w:noHBand="0" w:noVBand="1"/>
      </w:tblPr>
      <w:tblGrid>
        <w:gridCol w:w="918"/>
        <w:gridCol w:w="2520"/>
        <w:gridCol w:w="1530"/>
        <w:gridCol w:w="141"/>
        <w:gridCol w:w="2379"/>
      </w:tblGrid>
      <w:tr w:rsidR="001C1A52" w:rsidRPr="00E23F29" w14:paraId="69B8F505" w14:textId="77777777" w:rsidTr="00516A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05AF839E" w14:textId="77777777" w:rsidR="001C1A52" w:rsidRPr="00E23F29" w:rsidRDefault="001C1A52" w:rsidP="00516A2E">
            <w:pPr>
              <w:jc w:val="center"/>
              <w:rPr>
                <w:rFonts w:ascii="Calibri" w:hAnsi="Calibri" w:cs="Calibri"/>
                <w:color w:val="000000"/>
                <w:sz w:val="22"/>
                <w:szCs w:val="22"/>
              </w:rPr>
            </w:pPr>
            <w:r>
              <w:rPr>
                <w:rFonts w:ascii="Calibri" w:hAnsi="Calibri" w:cs="Calibri"/>
                <w:color w:val="000000"/>
                <w:sz w:val="22"/>
                <w:szCs w:val="22"/>
              </w:rPr>
              <w:t>Rank</w:t>
            </w:r>
          </w:p>
        </w:tc>
        <w:tc>
          <w:tcPr>
            <w:tcW w:w="2520" w:type="dxa"/>
            <w:noWrap/>
          </w:tcPr>
          <w:p w14:paraId="3958FE8B" w14:textId="77777777" w:rsidR="001C1A52" w:rsidRPr="00E23F29" w:rsidRDefault="001C1A52" w:rsidP="00516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Country</w:t>
            </w:r>
          </w:p>
        </w:tc>
        <w:tc>
          <w:tcPr>
            <w:tcW w:w="1530" w:type="dxa"/>
            <w:noWrap/>
          </w:tcPr>
          <w:p w14:paraId="2629F28A" w14:textId="77777777" w:rsidR="001C1A52" w:rsidRPr="00E23F29" w:rsidRDefault="001C1A52" w:rsidP="00516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Abbr</w:t>
            </w:r>
            <w:proofErr w:type="spellEnd"/>
          </w:p>
        </w:tc>
        <w:tc>
          <w:tcPr>
            <w:tcW w:w="2520" w:type="dxa"/>
            <w:gridSpan w:val="2"/>
            <w:noWrap/>
          </w:tcPr>
          <w:p w14:paraId="324A5C05" w14:textId="77777777" w:rsidR="001C1A52" w:rsidRPr="00E23F29" w:rsidRDefault="001C1A52" w:rsidP="00516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Number of responses</w:t>
            </w:r>
          </w:p>
        </w:tc>
      </w:tr>
      <w:tr w:rsidR="001C1A52" w:rsidRPr="00E23F29" w14:paraId="4395F632" w14:textId="77777777" w:rsidTr="0051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779CAC69" w14:textId="77777777" w:rsidR="001C1A52" w:rsidRPr="00E23F29" w:rsidRDefault="001C1A52" w:rsidP="00516A2E">
            <w:pPr>
              <w:rPr>
                <w:rFonts w:ascii="Calibri" w:hAnsi="Calibri" w:cs="Calibri"/>
                <w:b w:val="0"/>
                <w:bCs w:val="0"/>
                <w:color w:val="000000"/>
                <w:sz w:val="22"/>
                <w:szCs w:val="22"/>
              </w:rPr>
            </w:pPr>
            <w:r>
              <w:rPr>
                <w:rFonts w:ascii="Calibri" w:hAnsi="Calibri" w:cs="Calibri"/>
                <w:color w:val="000000"/>
                <w:sz w:val="22"/>
                <w:szCs w:val="22"/>
              </w:rPr>
              <w:t>1</w:t>
            </w:r>
          </w:p>
        </w:tc>
        <w:tc>
          <w:tcPr>
            <w:tcW w:w="2520" w:type="dxa"/>
            <w:noWrap/>
            <w:vAlign w:val="bottom"/>
            <w:hideMark/>
          </w:tcPr>
          <w:p w14:paraId="508F320D"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South Africa</w:t>
            </w:r>
          </w:p>
        </w:tc>
        <w:tc>
          <w:tcPr>
            <w:tcW w:w="1530" w:type="dxa"/>
            <w:noWrap/>
            <w:vAlign w:val="bottom"/>
            <w:hideMark/>
          </w:tcPr>
          <w:p w14:paraId="20800AF2"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ZA</w:t>
            </w:r>
          </w:p>
        </w:tc>
        <w:tc>
          <w:tcPr>
            <w:tcW w:w="2520" w:type="dxa"/>
            <w:gridSpan w:val="2"/>
            <w:noWrap/>
            <w:vAlign w:val="bottom"/>
            <w:hideMark/>
          </w:tcPr>
          <w:p w14:paraId="6B30A0CE" w14:textId="77777777" w:rsidR="001C1A52" w:rsidRPr="00E23F29" w:rsidRDefault="001C1A52" w:rsidP="00516A2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1C1A52" w:rsidRPr="00E23F29" w14:paraId="20CE69D3" w14:textId="77777777" w:rsidTr="00516A2E">
        <w:trPr>
          <w:trHeight w:val="300"/>
        </w:trPr>
        <w:tc>
          <w:tcPr>
            <w:cnfStyle w:val="001000000000" w:firstRow="0" w:lastRow="0" w:firstColumn="1" w:lastColumn="0" w:oddVBand="0" w:evenVBand="0" w:oddHBand="0" w:evenHBand="0" w:firstRowFirstColumn="0" w:firstRowLastColumn="0" w:lastRowFirstColumn="0" w:lastRowLastColumn="0"/>
            <w:tcW w:w="918" w:type="dxa"/>
          </w:tcPr>
          <w:p w14:paraId="6B12C3A3"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2</w:t>
            </w:r>
          </w:p>
        </w:tc>
        <w:tc>
          <w:tcPr>
            <w:tcW w:w="2520" w:type="dxa"/>
            <w:noWrap/>
            <w:vAlign w:val="bottom"/>
            <w:hideMark/>
          </w:tcPr>
          <w:p w14:paraId="49E83E7F"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Austria</w:t>
            </w:r>
          </w:p>
        </w:tc>
        <w:tc>
          <w:tcPr>
            <w:tcW w:w="1530" w:type="dxa"/>
            <w:noWrap/>
            <w:vAlign w:val="bottom"/>
            <w:hideMark/>
          </w:tcPr>
          <w:p w14:paraId="6DB278C2"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AT</w:t>
            </w:r>
          </w:p>
        </w:tc>
        <w:tc>
          <w:tcPr>
            <w:tcW w:w="2520" w:type="dxa"/>
            <w:gridSpan w:val="2"/>
            <w:noWrap/>
            <w:vAlign w:val="bottom"/>
            <w:hideMark/>
          </w:tcPr>
          <w:p w14:paraId="72CF9685" w14:textId="77777777" w:rsidR="001C1A52" w:rsidRPr="00E23F29" w:rsidRDefault="001C1A52" w:rsidP="00516A2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1C1A52" w:rsidRPr="00E23F29" w14:paraId="33CD86DF" w14:textId="77777777" w:rsidTr="0051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29BE80B8"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3</w:t>
            </w:r>
          </w:p>
        </w:tc>
        <w:tc>
          <w:tcPr>
            <w:tcW w:w="2520" w:type="dxa"/>
            <w:noWrap/>
            <w:vAlign w:val="bottom"/>
            <w:hideMark/>
          </w:tcPr>
          <w:p w14:paraId="0C5CEE1C"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France</w:t>
            </w:r>
          </w:p>
        </w:tc>
        <w:tc>
          <w:tcPr>
            <w:tcW w:w="1530" w:type="dxa"/>
            <w:noWrap/>
            <w:vAlign w:val="bottom"/>
            <w:hideMark/>
          </w:tcPr>
          <w:p w14:paraId="642764C9"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FR</w:t>
            </w:r>
          </w:p>
        </w:tc>
        <w:tc>
          <w:tcPr>
            <w:tcW w:w="2520" w:type="dxa"/>
            <w:gridSpan w:val="2"/>
            <w:noWrap/>
            <w:vAlign w:val="bottom"/>
            <w:hideMark/>
          </w:tcPr>
          <w:p w14:paraId="56527133" w14:textId="77777777" w:rsidR="001C1A52" w:rsidRPr="00E23F29" w:rsidRDefault="001C1A52" w:rsidP="00516A2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1C1A52" w:rsidRPr="00E23F29" w14:paraId="5331BE88" w14:textId="77777777" w:rsidTr="00516A2E">
        <w:trPr>
          <w:trHeight w:val="300"/>
        </w:trPr>
        <w:tc>
          <w:tcPr>
            <w:cnfStyle w:val="001000000000" w:firstRow="0" w:lastRow="0" w:firstColumn="1" w:lastColumn="0" w:oddVBand="0" w:evenVBand="0" w:oddHBand="0" w:evenHBand="0" w:firstRowFirstColumn="0" w:firstRowLastColumn="0" w:lastRowFirstColumn="0" w:lastRowLastColumn="0"/>
            <w:tcW w:w="918" w:type="dxa"/>
          </w:tcPr>
          <w:p w14:paraId="6EBBEE94"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4</w:t>
            </w:r>
          </w:p>
        </w:tc>
        <w:tc>
          <w:tcPr>
            <w:tcW w:w="2520" w:type="dxa"/>
            <w:noWrap/>
            <w:vAlign w:val="bottom"/>
            <w:hideMark/>
          </w:tcPr>
          <w:p w14:paraId="3ABC8E3D"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United States</w:t>
            </w:r>
          </w:p>
        </w:tc>
        <w:tc>
          <w:tcPr>
            <w:tcW w:w="1530" w:type="dxa"/>
            <w:noWrap/>
            <w:vAlign w:val="bottom"/>
            <w:hideMark/>
          </w:tcPr>
          <w:p w14:paraId="6EA99858"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US</w:t>
            </w:r>
          </w:p>
        </w:tc>
        <w:tc>
          <w:tcPr>
            <w:tcW w:w="2520" w:type="dxa"/>
            <w:gridSpan w:val="2"/>
            <w:noWrap/>
            <w:vAlign w:val="bottom"/>
            <w:hideMark/>
          </w:tcPr>
          <w:p w14:paraId="7B464E2B" w14:textId="77777777" w:rsidR="001C1A52" w:rsidRPr="00E23F29" w:rsidRDefault="001C1A52" w:rsidP="00516A2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1C1A52" w:rsidRPr="00E23F29" w14:paraId="4AB35651" w14:textId="77777777" w:rsidTr="0051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36674B70"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5</w:t>
            </w:r>
          </w:p>
        </w:tc>
        <w:tc>
          <w:tcPr>
            <w:tcW w:w="2520" w:type="dxa"/>
            <w:noWrap/>
            <w:vAlign w:val="bottom"/>
            <w:hideMark/>
          </w:tcPr>
          <w:p w14:paraId="33C5CDF9"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Germany</w:t>
            </w:r>
          </w:p>
        </w:tc>
        <w:tc>
          <w:tcPr>
            <w:tcW w:w="1530" w:type="dxa"/>
            <w:noWrap/>
            <w:vAlign w:val="bottom"/>
            <w:hideMark/>
          </w:tcPr>
          <w:p w14:paraId="467B8B78"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w:t>
            </w:r>
          </w:p>
        </w:tc>
        <w:tc>
          <w:tcPr>
            <w:tcW w:w="2520" w:type="dxa"/>
            <w:gridSpan w:val="2"/>
            <w:noWrap/>
            <w:vAlign w:val="bottom"/>
            <w:hideMark/>
          </w:tcPr>
          <w:p w14:paraId="0CA25569" w14:textId="77777777" w:rsidR="001C1A52" w:rsidRPr="00E23F29" w:rsidRDefault="001C1A52" w:rsidP="00516A2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1C1A52" w:rsidRPr="00E23F29" w14:paraId="5E003918" w14:textId="77777777" w:rsidTr="00516A2E">
        <w:trPr>
          <w:trHeight w:val="300"/>
        </w:trPr>
        <w:tc>
          <w:tcPr>
            <w:cnfStyle w:val="001000000000" w:firstRow="0" w:lastRow="0" w:firstColumn="1" w:lastColumn="0" w:oddVBand="0" w:evenVBand="0" w:oddHBand="0" w:evenHBand="0" w:firstRowFirstColumn="0" w:firstRowLastColumn="0" w:lastRowFirstColumn="0" w:lastRowLastColumn="0"/>
            <w:tcW w:w="918" w:type="dxa"/>
          </w:tcPr>
          <w:p w14:paraId="5D032B9A"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6</w:t>
            </w:r>
          </w:p>
        </w:tc>
        <w:tc>
          <w:tcPr>
            <w:tcW w:w="2520" w:type="dxa"/>
            <w:noWrap/>
            <w:vAlign w:val="bottom"/>
            <w:hideMark/>
          </w:tcPr>
          <w:p w14:paraId="5DACAC67"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United Kingdom</w:t>
            </w:r>
          </w:p>
        </w:tc>
        <w:tc>
          <w:tcPr>
            <w:tcW w:w="1530" w:type="dxa"/>
            <w:noWrap/>
            <w:vAlign w:val="bottom"/>
            <w:hideMark/>
          </w:tcPr>
          <w:p w14:paraId="445ED61E"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GB</w:t>
            </w:r>
          </w:p>
        </w:tc>
        <w:tc>
          <w:tcPr>
            <w:tcW w:w="2520" w:type="dxa"/>
            <w:gridSpan w:val="2"/>
            <w:noWrap/>
            <w:vAlign w:val="bottom"/>
            <w:hideMark/>
          </w:tcPr>
          <w:p w14:paraId="0549098E" w14:textId="77777777" w:rsidR="001C1A52" w:rsidRPr="00E23F29" w:rsidRDefault="001C1A52" w:rsidP="00516A2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1C1A52" w:rsidRPr="00E23F29" w14:paraId="605CB584" w14:textId="77777777" w:rsidTr="0051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499B2383"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7</w:t>
            </w:r>
          </w:p>
        </w:tc>
        <w:tc>
          <w:tcPr>
            <w:tcW w:w="2520" w:type="dxa"/>
            <w:noWrap/>
            <w:vAlign w:val="bottom"/>
            <w:hideMark/>
          </w:tcPr>
          <w:p w14:paraId="5FAE319A"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Nepal</w:t>
            </w:r>
          </w:p>
        </w:tc>
        <w:tc>
          <w:tcPr>
            <w:tcW w:w="1530" w:type="dxa"/>
            <w:noWrap/>
            <w:vAlign w:val="bottom"/>
            <w:hideMark/>
          </w:tcPr>
          <w:p w14:paraId="38B1D90E"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NP</w:t>
            </w:r>
          </w:p>
        </w:tc>
        <w:tc>
          <w:tcPr>
            <w:tcW w:w="2520" w:type="dxa"/>
            <w:gridSpan w:val="2"/>
            <w:noWrap/>
            <w:vAlign w:val="bottom"/>
            <w:hideMark/>
          </w:tcPr>
          <w:p w14:paraId="19E0CE72" w14:textId="77777777" w:rsidR="001C1A52" w:rsidRPr="00E23F29" w:rsidRDefault="001C1A52" w:rsidP="00516A2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1C1A52" w:rsidRPr="00E23F29" w14:paraId="636B2B91" w14:textId="77777777" w:rsidTr="00516A2E">
        <w:trPr>
          <w:trHeight w:val="300"/>
        </w:trPr>
        <w:tc>
          <w:tcPr>
            <w:cnfStyle w:val="001000000000" w:firstRow="0" w:lastRow="0" w:firstColumn="1" w:lastColumn="0" w:oddVBand="0" w:evenVBand="0" w:oddHBand="0" w:evenHBand="0" w:firstRowFirstColumn="0" w:firstRowLastColumn="0" w:lastRowFirstColumn="0" w:lastRowLastColumn="0"/>
            <w:tcW w:w="918" w:type="dxa"/>
          </w:tcPr>
          <w:p w14:paraId="5FAC7B71"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8</w:t>
            </w:r>
          </w:p>
        </w:tc>
        <w:tc>
          <w:tcPr>
            <w:tcW w:w="2520" w:type="dxa"/>
            <w:noWrap/>
            <w:vAlign w:val="bottom"/>
            <w:hideMark/>
          </w:tcPr>
          <w:p w14:paraId="77088CDE"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Uganda</w:t>
            </w:r>
          </w:p>
        </w:tc>
        <w:tc>
          <w:tcPr>
            <w:tcW w:w="1671" w:type="dxa"/>
            <w:gridSpan w:val="2"/>
            <w:noWrap/>
            <w:vAlign w:val="bottom"/>
            <w:hideMark/>
          </w:tcPr>
          <w:p w14:paraId="1E11134B" w14:textId="77777777" w:rsidR="001C1A52" w:rsidRPr="00E23F29" w:rsidRDefault="001C1A52" w:rsidP="00516A2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UG</w:t>
            </w:r>
          </w:p>
        </w:tc>
        <w:tc>
          <w:tcPr>
            <w:tcW w:w="2379" w:type="dxa"/>
            <w:noWrap/>
            <w:vAlign w:val="bottom"/>
            <w:hideMark/>
          </w:tcPr>
          <w:p w14:paraId="101DD46E" w14:textId="77777777" w:rsidR="001C1A52" w:rsidRPr="00E23F29" w:rsidRDefault="001C1A52" w:rsidP="00516A2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1C1A52" w:rsidRPr="00E23F29" w14:paraId="558F6284" w14:textId="77777777" w:rsidTr="0051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Pr>
          <w:p w14:paraId="21734EF1" w14:textId="77777777" w:rsidR="001C1A52" w:rsidRPr="00E23F29" w:rsidRDefault="001C1A52" w:rsidP="00516A2E">
            <w:pPr>
              <w:rPr>
                <w:rFonts w:ascii="Calibri" w:hAnsi="Calibri" w:cs="Calibri"/>
                <w:color w:val="000000"/>
                <w:sz w:val="22"/>
                <w:szCs w:val="22"/>
              </w:rPr>
            </w:pPr>
            <w:r>
              <w:rPr>
                <w:rFonts w:ascii="Calibri" w:hAnsi="Calibri" w:cs="Calibri"/>
                <w:color w:val="000000"/>
                <w:sz w:val="22"/>
                <w:szCs w:val="22"/>
              </w:rPr>
              <w:t>9</w:t>
            </w:r>
          </w:p>
        </w:tc>
        <w:tc>
          <w:tcPr>
            <w:tcW w:w="2520" w:type="dxa"/>
            <w:noWrap/>
            <w:vAlign w:val="bottom"/>
            <w:hideMark/>
          </w:tcPr>
          <w:p w14:paraId="5FA8314A"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Uzbekistan</w:t>
            </w:r>
          </w:p>
        </w:tc>
        <w:tc>
          <w:tcPr>
            <w:tcW w:w="1671" w:type="dxa"/>
            <w:gridSpan w:val="2"/>
            <w:noWrap/>
            <w:vAlign w:val="bottom"/>
            <w:hideMark/>
          </w:tcPr>
          <w:p w14:paraId="5277D77F" w14:textId="77777777" w:rsidR="001C1A52" w:rsidRPr="00E23F29" w:rsidRDefault="001C1A52" w:rsidP="00516A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UZ</w:t>
            </w:r>
          </w:p>
        </w:tc>
        <w:tc>
          <w:tcPr>
            <w:tcW w:w="2379" w:type="dxa"/>
            <w:noWrap/>
            <w:vAlign w:val="bottom"/>
            <w:hideMark/>
          </w:tcPr>
          <w:p w14:paraId="5A930764" w14:textId="77777777" w:rsidR="001C1A52" w:rsidRPr="00E23F29" w:rsidRDefault="001C1A52" w:rsidP="00516A2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bl>
    <w:p w14:paraId="78C33DF6" w14:textId="77777777" w:rsidR="001C1A52" w:rsidRDefault="001C1A52" w:rsidP="001C1A52">
      <w:pPr>
        <w:rPr>
          <w:rFonts w:asciiTheme="minorHAnsi" w:hAnsiTheme="minorHAnsi" w:cstheme="minorHAnsi"/>
          <w:color w:val="000000" w:themeColor="text1"/>
        </w:rPr>
      </w:pPr>
      <w:bookmarkStart w:id="3" w:name="_Toc40294503"/>
    </w:p>
    <w:p w14:paraId="752D08AA" w14:textId="77777777" w:rsidR="001C1A52" w:rsidRDefault="001C1A52" w:rsidP="001C1A52">
      <w:pPr>
        <w:jc w:val="center"/>
        <w:rPr>
          <w:rFonts w:asciiTheme="minorHAnsi" w:hAnsiTheme="minorHAnsi" w:cstheme="minorHAnsi"/>
          <w:color w:val="000000" w:themeColor="text1"/>
        </w:rPr>
      </w:pPr>
      <w:r>
        <w:rPr>
          <w:noProof/>
        </w:rPr>
        <w:drawing>
          <wp:inline distT="0" distB="0" distL="0" distR="0" wp14:anchorId="3F4341A4" wp14:editId="123A0ADF">
            <wp:extent cx="5289550" cy="4140200"/>
            <wp:effectExtent l="0" t="0" r="6350" b="12700"/>
            <wp:docPr id="3" name="Chart 3">
              <a:extLst xmlns:a="http://schemas.openxmlformats.org/drawingml/2006/main">
                <a:ext uri="{FF2B5EF4-FFF2-40B4-BE49-F238E27FC236}">
                  <a16:creationId xmlns:a16="http://schemas.microsoft.com/office/drawing/2014/main" id="{FC0D329E-E1CE-FD43-908B-19C9AD920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B25D2A" w14:textId="77777777" w:rsidR="001C1A52" w:rsidRPr="00B10FB6" w:rsidRDefault="001C1A52" w:rsidP="001C1A52">
      <w:pPr>
        <w:jc w:val="center"/>
        <w:rPr>
          <w:rFonts w:asciiTheme="minorHAnsi" w:hAnsiTheme="minorHAnsi" w:cstheme="minorHAnsi"/>
          <w:color w:val="000000" w:themeColor="text1"/>
        </w:rPr>
      </w:pPr>
    </w:p>
    <w:p w14:paraId="64ACF464" w14:textId="77777777" w:rsidR="001C1A52" w:rsidRPr="00B10FB6" w:rsidRDefault="001C1A52" w:rsidP="001C1A52">
      <w:pPr>
        <w:rPr>
          <w:rFonts w:asciiTheme="minorHAnsi" w:hAnsiTheme="minorHAnsi" w:cstheme="minorHAnsi"/>
          <w:color w:val="000000" w:themeColor="text1"/>
        </w:rPr>
      </w:pPr>
      <w:r>
        <w:rPr>
          <w:rFonts w:asciiTheme="minorHAnsi" w:hAnsiTheme="minorHAnsi" w:cstheme="minorHAnsi"/>
          <w:color w:val="000000" w:themeColor="text1"/>
        </w:rPr>
        <w:t xml:space="preserve">The countries that had only one respondent includes: </w:t>
      </w:r>
      <w:r w:rsidRPr="006E1686">
        <w:rPr>
          <w:rFonts w:asciiTheme="minorHAnsi" w:hAnsiTheme="minorHAnsi" w:cstheme="minorHAnsi"/>
          <w:color w:val="000000" w:themeColor="text1"/>
        </w:rPr>
        <w:t>Australia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Bangladesh</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Burundi</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Canada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Switzerland</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Cyprus</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Chechia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Estonia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Ireland</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Kazakhstan</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Nigeria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Portugal</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Serbia</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Sweden</w:t>
      </w:r>
      <w:r>
        <w:rPr>
          <w:rFonts w:asciiTheme="minorHAnsi" w:hAnsiTheme="minorHAnsi" w:cstheme="minorHAnsi"/>
          <w:color w:val="000000" w:themeColor="text1"/>
        </w:rPr>
        <w:t xml:space="preserve">, </w:t>
      </w:r>
      <w:r w:rsidRPr="006E1686">
        <w:rPr>
          <w:rFonts w:asciiTheme="minorHAnsi" w:hAnsiTheme="minorHAnsi" w:cstheme="minorHAnsi"/>
          <w:color w:val="000000" w:themeColor="text1"/>
        </w:rPr>
        <w:t>Turkey</w:t>
      </w:r>
      <w:r>
        <w:rPr>
          <w:rFonts w:asciiTheme="minorHAnsi" w:hAnsiTheme="minorHAnsi" w:cstheme="minorHAnsi"/>
          <w:color w:val="000000" w:themeColor="text1"/>
        </w:rPr>
        <w:t xml:space="preserve">, and </w:t>
      </w:r>
      <w:r w:rsidRPr="006E1686">
        <w:rPr>
          <w:rFonts w:asciiTheme="minorHAnsi" w:hAnsiTheme="minorHAnsi" w:cstheme="minorHAnsi"/>
          <w:color w:val="000000" w:themeColor="text1"/>
        </w:rPr>
        <w:t>Zimbabwe</w:t>
      </w:r>
      <w:r>
        <w:rPr>
          <w:rFonts w:asciiTheme="minorHAnsi" w:hAnsiTheme="minorHAnsi" w:cstheme="minorHAnsi"/>
          <w:color w:val="000000" w:themeColor="text1"/>
        </w:rPr>
        <w:t xml:space="preserve">. </w:t>
      </w:r>
    </w:p>
    <w:p w14:paraId="5A287BE4" w14:textId="77777777" w:rsidR="001C1A52" w:rsidRPr="00965C5D" w:rsidRDefault="001C1A52" w:rsidP="001C1A52">
      <w:pPr>
        <w:pStyle w:val="Heading1"/>
        <w:numPr>
          <w:ilvl w:val="0"/>
          <w:numId w:val="8"/>
        </w:numPr>
        <w:rPr>
          <w:rFonts w:asciiTheme="minorHAnsi" w:hAnsiTheme="minorHAnsi" w:cstheme="minorHAnsi"/>
        </w:rPr>
      </w:pPr>
      <w:r w:rsidRPr="00B10FB6">
        <w:rPr>
          <w:rFonts w:asciiTheme="minorHAnsi" w:hAnsiTheme="minorHAnsi" w:cstheme="minorHAnsi"/>
        </w:rPr>
        <w:lastRenderedPageBreak/>
        <w:t>Summary of narrative responses</w:t>
      </w:r>
      <w:bookmarkEnd w:id="3"/>
    </w:p>
    <w:p w14:paraId="5E25B251" w14:textId="77777777" w:rsidR="001C1A52" w:rsidRDefault="001C1A52" w:rsidP="001C1A52">
      <w:pPr>
        <w:shd w:val="clear" w:color="auto" w:fill="FFFFFF"/>
        <w:spacing w:after="0" w:line="240" w:lineRule="auto"/>
        <w:jc w:val="both"/>
        <w:rPr>
          <w:rFonts w:asciiTheme="minorHAnsi" w:eastAsia="Times New Roman" w:hAnsiTheme="minorHAnsi" w:cstheme="minorHAnsi"/>
          <w:b/>
          <w:color w:val="000000"/>
          <w:szCs w:val="24"/>
          <w:lang w:val="en-GB" w:eastAsia="en-GB"/>
        </w:rPr>
      </w:pPr>
      <w:r w:rsidRPr="00E95D0F">
        <w:rPr>
          <w:rFonts w:asciiTheme="minorHAnsi" w:eastAsia="Times New Roman" w:hAnsiTheme="minorHAnsi" w:cstheme="minorHAnsi"/>
          <w:b/>
          <w:color w:val="000000"/>
          <w:szCs w:val="24"/>
          <w:lang w:val="en-GB" w:eastAsia="en-GB"/>
        </w:rPr>
        <w:t xml:space="preserve">With only 52 responses this week, this analysis examines the narrative responses </w:t>
      </w:r>
      <w:proofErr w:type="gramStart"/>
      <w:r w:rsidRPr="00E95D0F">
        <w:rPr>
          <w:rFonts w:asciiTheme="minorHAnsi" w:eastAsia="Times New Roman" w:hAnsiTheme="minorHAnsi" w:cstheme="minorHAnsi"/>
          <w:b/>
          <w:color w:val="000000"/>
          <w:szCs w:val="24"/>
          <w:lang w:val="en-GB" w:eastAsia="en-GB"/>
        </w:rPr>
        <w:t>in light of</w:t>
      </w:r>
      <w:proofErr w:type="gramEnd"/>
      <w:r w:rsidRPr="00E95D0F">
        <w:rPr>
          <w:rFonts w:asciiTheme="minorHAnsi" w:eastAsia="Times New Roman" w:hAnsiTheme="minorHAnsi" w:cstheme="minorHAnsi"/>
          <w:b/>
          <w:color w:val="000000"/>
          <w:szCs w:val="24"/>
          <w:lang w:val="en-GB" w:eastAsia="en-GB"/>
        </w:rPr>
        <w:t xml:space="preserve"> trends noted in previous weekly briefs.</w:t>
      </w:r>
      <w:r>
        <w:rPr>
          <w:rFonts w:asciiTheme="minorHAnsi" w:eastAsia="Times New Roman" w:hAnsiTheme="minorHAnsi" w:cstheme="minorHAnsi"/>
          <w:b/>
          <w:color w:val="000000"/>
          <w:szCs w:val="24"/>
          <w:lang w:val="en-GB" w:eastAsia="en-GB"/>
        </w:rPr>
        <w:t xml:space="preserve"> </w:t>
      </w:r>
      <w:r w:rsidRPr="003F72EE">
        <w:rPr>
          <w:rFonts w:asciiTheme="minorHAnsi" w:eastAsia="Times New Roman" w:hAnsiTheme="minorHAnsi" w:cstheme="minorHAnsi"/>
          <w:color w:val="000000"/>
          <w:szCs w:val="24"/>
          <w:lang w:val="en-GB" w:eastAsia="en-GB"/>
        </w:rPr>
        <w:t>An additional limitation of the survey results for this week include the disproportionate geographic representation of respondents from South Africa, who made up 30% of the respondents’ locations. All other 23 countries represented in the survey results for the week had no more than 3 responses per country.</w:t>
      </w:r>
      <w:r>
        <w:rPr>
          <w:rFonts w:asciiTheme="minorHAnsi" w:eastAsia="Times New Roman" w:hAnsiTheme="minorHAnsi" w:cstheme="minorHAnsi"/>
          <w:b/>
          <w:color w:val="000000"/>
          <w:szCs w:val="24"/>
          <w:lang w:val="en-GB" w:eastAsia="en-GB"/>
        </w:rPr>
        <w:t xml:space="preserve"> </w:t>
      </w:r>
    </w:p>
    <w:p w14:paraId="7FDAB249" w14:textId="77777777" w:rsidR="001C1A52" w:rsidRDefault="001C1A52" w:rsidP="001C1A52">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03F6A5AA" w14:textId="77777777" w:rsidR="001C1A52" w:rsidRDefault="001C1A52" w:rsidP="001C1A52">
      <w:pPr>
        <w:shd w:val="clear" w:color="auto" w:fill="FFFFFF"/>
        <w:spacing w:after="0" w:line="240" w:lineRule="auto"/>
        <w:jc w:val="both"/>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The overall themes from this week, however, are generally the same. Observations worth noting include:</w:t>
      </w:r>
    </w:p>
    <w:p w14:paraId="283E2A13" w14:textId="77777777" w:rsidR="001C1A52" w:rsidRDefault="001C1A52" w:rsidP="001C1A52">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73E0E108" w14:textId="77777777" w:rsidR="001C1A52" w:rsidRDefault="001C1A52" w:rsidP="001C1A52">
      <w:pPr>
        <w:pStyle w:val="ListParagraph"/>
        <w:numPr>
          <w:ilvl w:val="0"/>
          <w:numId w:val="9"/>
        </w:numPr>
        <w:shd w:val="clear" w:color="auto" w:fill="FFFFFF"/>
        <w:spacing w:after="0" w:line="240" w:lineRule="auto"/>
        <w:ind w:left="720"/>
        <w:jc w:val="both"/>
        <w:rPr>
          <w:rFonts w:eastAsia="Times New Roman" w:cstheme="minorHAnsi"/>
          <w:color w:val="000000"/>
          <w:sz w:val="24"/>
          <w:szCs w:val="24"/>
          <w:lang w:eastAsia="en-GB"/>
        </w:rPr>
      </w:pPr>
      <w:r w:rsidRPr="00B77109">
        <w:rPr>
          <w:rFonts w:eastAsia="Times New Roman" w:cstheme="minorHAnsi"/>
          <w:color w:val="000000"/>
          <w:sz w:val="24"/>
          <w:szCs w:val="24"/>
          <w:u w:val="single"/>
          <w:lang w:eastAsia="en-GB"/>
        </w:rPr>
        <w:t xml:space="preserve">Lack of </w:t>
      </w:r>
      <w:r>
        <w:rPr>
          <w:rFonts w:eastAsia="Times New Roman" w:cstheme="minorHAnsi"/>
          <w:color w:val="000000"/>
          <w:sz w:val="24"/>
          <w:szCs w:val="24"/>
          <w:u w:val="single"/>
          <w:lang w:eastAsia="en-GB"/>
        </w:rPr>
        <w:t xml:space="preserve">Inclusive </w:t>
      </w:r>
      <w:r w:rsidRPr="00B77109">
        <w:rPr>
          <w:rFonts w:eastAsia="Times New Roman" w:cstheme="minorHAnsi"/>
          <w:color w:val="000000"/>
          <w:sz w:val="24"/>
          <w:szCs w:val="24"/>
          <w:u w:val="single"/>
          <w:lang w:eastAsia="en-GB"/>
        </w:rPr>
        <w:t xml:space="preserve">Communication and </w:t>
      </w:r>
      <w:r>
        <w:rPr>
          <w:rFonts w:eastAsia="Times New Roman" w:cstheme="minorHAnsi"/>
          <w:color w:val="000000"/>
          <w:sz w:val="24"/>
          <w:szCs w:val="24"/>
          <w:u w:val="single"/>
          <w:lang w:eastAsia="en-GB"/>
        </w:rPr>
        <w:t>Accordingly Knowledge</w:t>
      </w:r>
      <w:r>
        <w:rPr>
          <w:rFonts w:eastAsia="Times New Roman" w:cstheme="minorHAnsi"/>
          <w:color w:val="000000"/>
          <w:sz w:val="24"/>
          <w:szCs w:val="24"/>
          <w:lang w:eastAsia="en-GB"/>
        </w:rPr>
        <w:t xml:space="preserve"> - </w:t>
      </w:r>
      <w:proofErr w:type="gramStart"/>
      <w:r w:rsidRPr="00B77109">
        <w:rPr>
          <w:rFonts w:eastAsia="Times New Roman" w:cstheme="minorHAnsi"/>
          <w:color w:val="000000"/>
          <w:sz w:val="24"/>
          <w:szCs w:val="24"/>
          <w:lang w:eastAsia="en-GB"/>
        </w:rPr>
        <w:t>A number of</w:t>
      </w:r>
      <w:proofErr w:type="gramEnd"/>
      <w:r w:rsidRPr="00B77109">
        <w:rPr>
          <w:rFonts w:eastAsia="Times New Roman" w:cstheme="minorHAnsi"/>
          <w:color w:val="000000"/>
          <w:sz w:val="24"/>
          <w:szCs w:val="24"/>
          <w:lang w:eastAsia="en-GB"/>
        </w:rPr>
        <w:t xml:space="preserve"> narrative responses, when given, indicated a lack of knowledge on the question asked. For instance, 20 – 25% of respondents said they did not know information regarding the cluster of questions on government responses to protect the life, health and safety of children with disabilities and persons with disabilities in different living situations (questions 9-15). This could indicate a general lack of inclusive communication available from governments. Additionally, 44% of respondents did not know of sanctions, </w:t>
      </w:r>
      <w:proofErr w:type="gramStart"/>
      <w:r w:rsidRPr="00B77109">
        <w:rPr>
          <w:rFonts w:eastAsia="Times New Roman" w:cstheme="minorHAnsi"/>
          <w:color w:val="000000"/>
          <w:sz w:val="24"/>
          <w:szCs w:val="24"/>
          <w:lang w:eastAsia="en-GB"/>
        </w:rPr>
        <w:t>fines</w:t>
      </w:r>
      <w:proofErr w:type="gramEnd"/>
      <w:r w:rsidRPr="00B77109">
        <w:rPr>
          <w:rFonts w:eastAsia="Times New Roman" w:cstheme="minorHAnsi"/>
          <w:color w:val="000000"/>
          <w:sz w:val="24"/>
          <w:szCs w:val="24"/>
          <w:lang w:eastAsia="en-GB"/>
        </w:rPr>
        <w:t xml:space="preserve"> or arrests for persons with disabilities breaking state of emergency rules. </w:t>
      </w:r>
    </w:p>
    <w:p w14:paraId="1525F0B6" w14:textId="77777777" w:rsidR="001C1A52" w:rsidRPr="00B77109" w:rsidRDefault="001C1A52" w:rsidP="001C1A52">
      <w:pPr>
        <w:pStyle w:val="ListParagraph"/>
        <w:shd w:val="clear" w:color="auto" w:fill="FFFFFF"/>
        <w:spacing w:after="0" w:line="240" w:lineRule="auto"/>
        <w:jc w:val="both"/>
        <w:rPr>
          <w:rFonts w:eastAsia="Times New Roman" w:cstheme="minorHAnsi"/>
          <w:color w:val="000000"/>
          <w:sz w:val="24"/>
          <w:szCs w:val="24"/>
          <w:lang w:eastAsia="en-GB"/>
        </w:rPr>
      </w:pPr>
    </w:p>
    <w:p w14:paraId="6B9032E2" w14:textId="77777777" w:rsidR="001C1A52" w:rsidRDefault="001C1A52" w:rsidP="001C1A52">
      <w:pPr>
        <w:pStyle w:val="ListParagraph"/>
        <w:numPr>
          <w:ilvl w:val="0"/>
          <w:numId w:val="9"/>
        </w:numPr>
        <w:shd w:val="clear" w:color="auto" w:fill="FFFFFF"/>
        <w:spacing w:after="0" w:line="240" w:lineRule="auto"/>
        <w:ind w:left="720"/>
        <w:jc w:val="both"/>
        <w:rPr>
          <w:rFonts w:eastAsia="Times New Roman" w:cstheme="minorHAnsi"/>
          <w:color w:val="000000"/>
          <w:sz w:val="24"/>
          <w:szCs w:val="24"/>
          <w:lang w:eastAsia="en-GB"/>
        </w:rPr>
      </w:pPr>
      <w:r>
        <w:rPr>
          <w:rFonts w:eastAsia="Times New Roman" w:cstheme="minorHAnsi"/>
          <w:color w:val="000000"/>
          <w:sz w:val="24"/>
          <w:szCs w:val="24"/>
          <w:u w:val="single"/>
          <w:lang w:eastAsia="en-GB"/>
        </w:rPr>
        <w:t xml:space="preserve">Deep Awareness of </w:t>
      </w:r>
      <w:r w:rsidRPr="00B77109">
        <w:rPr>
          <w:rFonts w:eastAsia="Times New Roman" w:cstheme="minorHAnsi"/>
          <w:color w:val="000000"/>
          <w:sz w:val="24"/>
          <w:szCs w:val="24"/>
          <w:u w:val="single"/>
          <w:lang w:eastAsia="en-GB"/>
        </w:rPr>
        <w:t>Unexplained Restrictions and Visitations</w:t>
      </w:r>
      <w:r>
        <w:rPr>
          <w:rFonts w:eastAsia="Times New Roman" w:cstheme="minorHAnsi"/>
          <w:color w:val="000000"/>
          <w:sz w:val="24"/>
          <w:szCs w:val="24"/>
          <w:lang w:eastAsia="en-GB"/>
        </w:rPr>
        <w:t xml:space="preserve"> - </w:t>
      </w:r>
      <w:r w:rsidRPr="00B77109">
        <w:rPr>
          <w:rFonts w:eastAsia="Times New Roman" w:cstheme="minorHAnsi"/>
          <w:color w:val="000000"/>
          <w:sz w:val="24"/>
          <w:szCs w:val="24"/>
          <w:lang w:eastAsia="en-GB"/>
        </w:rPr>
        <w:t xml:space="preserve">When respondents did provide narrative answers about what the government has/has not done to protect the life, healthy, and safety of children and persons with disabilities in different living situations (questions 16-21), </w:t>
      </w:r>
      <w:r>
        <w:rPr>
          <w:rFonts w:eastAsia="Times New Roman" w:cstheme="minorHAnsi"/>
          <w:color w:val="000000"/>
          <w:sz w:val="24"/>
          <w:szCs w:val="24"/>
          <w:lang w:eastAsia="en-GB"/>
        </w:rPr>
        <w:t>70%</w:t>
      </w:r>
      <w:r w:rsidRPr="00B77109">
        <w:rPr>
          <w:rFonts w:eastAsia="Times New Roman" w:cstheme="minorHAnsi"/>
          <w:color w:val="000000"/>
          <w:sz w:val="24"/>
          <w:szCs w:val="24"/>
          <w:lang w:eastAsia="en-GB"/>
        </w:rPr>
        <w:t xml:space="preserve"> of respondents were quite knowledgeable about restrictions on visitation</w:t>
      </w:r>
      <w:r>
        <w:rPr>
          <w:rFonts w:eastAsia="Times New Roman" w:cstheme="minorHAnsi"/>
          <w:color w:val="000000"/>
          <w:sz w:val="24"/>
          <w:szCs w:val="24"/>
          <w:lang w:eastAsia="en-GB"/>
        </w:rPr>
        <w:t>,</w:t>
      </w:r>
      <w:r w:rsidRPr="00B77109">
        <w:rPr>
          <w:rFonts w:eastAsia="Times New Roman" w:cstheme="minorHAnsi"/>
          <w:color w:val="000000"/>
          <w:sz w:val="24"/>
          <w:szCs w:val="24"/>
          <w:lang w:eastAsia="en-GB"/>
        </w:rPr>
        <w:t xml:space="preserve"> freedom of movement</w:t>
      </w:r>
      <w:r>
        <w:rPr>
          <w:rFonts w:eastAsia="Times New Roman" w:cstheme="minorHAnsi"/>
          <w:color w:val="000000"/>
          <w:sz w:val="24"/>
          <w:szCs w:val="24"/>
          <w:lang w:eastAsia="en-GB"/>
        </w:rPr>
        <w:t>,  and</w:t>
      </w:r>
      <w:r w:rsidRPr="00B77109">
        <w:rPr>
          <w:rFonts w:eastAsia="Times New Roman" w:cstheme="minorHAnsi"/>
          <w:color w:val="000000"/>
          <w:sz w:val="24"/>
          <w:szCs w:val="24"/>
          <w:lang w:eastAsia="en-GB"/>
        </w:rPr>
        <w:t xml:space="preserve"> the lack of protective measured </w:t>
      </w:r>
      <w:r>
        <w:rPr>
          <w:rFonts w:eastAsia="Times New Roman" w:cstheme="minorHAnsi"/>
          <w:color w:val="000000"/>
          <w:sz w:val="24"/>
          <w:szCs w:val="24"/>
          <w:lang w:eastAsia="en-GB"/>
        </w:rPr>
        <w:t xml:space="preserve">that </w:t>
      </w:r>
      <w:r w:rsidRPr="00B77109">
        <w:rPr>
          <w:rFonts w:eastAsia="Times New Roman" w:cstheme="minorHAnsi"/>
          <w:color w:val="000000"/>
          <w:sz w:val="24"/>
          <w:szCs w:val="24"/>
          <w:lang w:eastAsia="en-GB"/>
        </w:rPr>
        <w:t xml:space="preserve">have been taken for persons with disabilities. </w:t>
      </w:r>
    </w:p>
    <w:p w14:paraId="15FCEDDB" w14:textId="77777777" w:rsidR="001C1A52" w:rsidRPr="00B77109" w:rsidRDefault="001C1A52" w:rsidP="001C1A52">
      <w:pPr>
        <w:shd w:val="clear" w:color="auto" w:fill="FFFFFF"/>
        <w:spacing w:after="0" w:line="240" w:lineRule="auto"/>
        <w:jc w:val="both"/>
        <w:rPr>
          <w:rFonts w:eastAsia="Times New Roman" w:cstheme="minorHAnsi"/>
          <w:color w:val="000000"/>
          <w:szCs w:val="24"/>
          <w:lang w:eastAsia="en-GB"/>
        </w:rPr>
      </w:pPr>
    </w:p>
    <w:p w14:paraId="233DB7D0" w14:textId="77777777" w:rsidR="001C1A52" w:rsidRDefault="001C1A52" w:rsidP="001C1A52">
      <w:pPr>
        <w:pStyle w:val="ListParagraph"/>
        <w:numPr>
          <w:ilvl w:val="0"/>
          <w:numId w:val="9"/>
        </w:numPr>
        <w:shd w:val="clear" w:color="auto" w:fill="FFFFFF"/>
        <w:spacing w:after="0" w:line="240" w:lineRule="auto"/>
        <w:ind w:left="720"/>
        <w:jc w:val="both"/>
        <w:rPr>
          <w:rFonts w:eastAsia="Times New Roman" w:cstheme="minorHAnsi"/>
          <w:color w:val="000000"/>
          <w:sz w:val="24"/>
          <w:szCs w:val="24"/>
          <w:lang w:eastAsia="en-GB"/>
        </w:rPr>
      </w:pPr>
      <w:r w:rsidRPr="00B77109">
        <w:rPr>
          <w:rFonts w:eastAsia="Times New Roman" w:cstheme="minorHAnsi"/>
          <w:color w:val="000000"/>
          <w:sz w:val="24"/>
          <w:szCs w:val="24"/>
          <w:u w:val="single"/>
          <w:lang w:eastAsia="en-GB"/>
        </w:rPr>
        <w:t>Complaint Mechanisms</w:t>
      </w:r>
      <w:r>
        <w:rPr>
          <w:rFonts w:eastAsia="Times New Roman" w:cstheme="minorHAnsi"/>
          <w:color w:val="000000"/>
          <w:sz w:val="24"/>
          <w:szCs w:val="24"/>
          <w:lang w:eastAsia="en-GB"/>
        </w:rPr>
        <w:t xml:space="preserve"> - </w:t>
      </w:r>
      <w:r w:rsidRPr="00B77109">
        <w:rPr>
          <w:rFonts w:eastAsia="Times New Roman" w:cstheme="minorHAnsi"/>
          <w:color w:val="000000"/>
          <w:sz w:val="24"/>
          <w:szCs w:val="24"/>
          <w:lang w:eastAsia="en-GB"/>
        </w:rPr>
        <w:t xml:space="preserve">Access to independent complaint mechanisms and lawyers varied across countries. Forty percent of narrative responses indicated a lack of access to lawyers, poor services, a lack of transparency once complaints had been registered, or a lack of resources for government offices to be open or address all complaints. A smaller percentage, 12%, indicated that the government does have mechanisms to manage complaints well (such as the South Africa Human Rights Commission’s ) or provides resources for persons with disabilities to potentially hire lawyers (general stipend provision in Germany).   </w:t>
      </w:r>
    </w:p>
    <w:p w14:paraId="11C16475" w14:textId="77777777" w:rsidR="001C1A52" w:rsidRPr="006C0DB2" w:rsidRDefault="001C1A52" w:rsidP="001C1A52">
      <w:pPr>
        <w:shd w:val="clear" w:color="auto" w:fill="FFFFFF"/>
        <w:spacing w:after="0" w:line="240" w:lineRule="auto"/>
        <w:jc w:val="both"/>
        <w:rPr>
          <w:rFonts w:eastAsia="Times New Roman" w:cstheme="minorHAnsi"/>
          <w:color w:val="000000"/>
          <w:szCs w:val="24"/>
          <w:lang w:eastAsia="en-GB"/>
        </w:rPr>
      </w:pPr>
    </w:p>
    <w:p w14:paraId="43379154" w14:textId="77777777" w:rsidR="001C1A52" w:rsidRPr="006753A4" w:rsidRDefault="001C1A52" w:rsidP="001C1A52">
      <w:pPr>
        <w:pStyle w:val="ListParagraph"/>
        <w:numPr>
          <w:ilvl w:val="0"/>
          <w:numId w:val="9"/>
        </w:numPr>
        <w:shd w:val="clear" w:color="auto" w:fill="FFFFFF"/>
        <w:spacing w:after="0" w:line="240" w:lineRule="auto"/>
        <w:ind w:left="720"/>
        <w:jc w:val="both"/>
        <w:rPr>
          <w:rFonts w:eastAsia="Times New Roman" w:cstheme="minorHAnsi"/>
          <w:sz w:val="24"/>
          <w:szCs w:val="24"/>
          <w:lang w:eastAsia="en-GB"/>
        </w:rPr>
      </w:pPr>
      <w:r w:rsidRPr="006753A4">
        <w:rPr>
          <w:rFonts w:eastAsia="Times New Roman" w:cstheme="minorHAnsi"/>
          <w:sz w:val="24"/>
          <w:szCs w:val="24"/>
          <w:u w:val="single"/>
          <w:lang w:eastAsia="en-GB"/>
        </w:rPr>
        <w:t>Concerns</w:t>
      </w:r>
      <w:r w:rsidRPr="006753A4">
        <w:rPr>
          <w:rFonts w:eastAsia="Times New Roman" w:cstheme="minorHAnsi"/>
          <w:sz w:val="24"/>
          <w:szCs w:val="24"/>
          <w:lang w:eastAsia="en-GB"/>
        </w:rPr>
        <w:t xml:space="preserve"> - People are generally concerned about access to health services, medical treatment and food, immediate and long-term economic effects of lockdowns. This includes similar concerns from previous weeks: </w:t>
      </w:r>
    </w:p>
    <w:p w14:paraId="45CF1F87"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r w:rsidRPr="006753A4">
        <w:rPr>
          <w:rFonts w:eastAsia="Times New Roman" w:cstheme="minorHAnsi"/>
          <w:sz w:val="24"/>
          <w:szCs w:val="24"/>
          <w:lang w:eastAsia="en-GB"/>
        </w:rPr>
        <w:t xml:space="preserve">- Access to information that is appropriate to their </w:t>
      </w:r>
      <w:proofErr w:type="gramStart"/>
      <w:r w:rsidRPr="006753A4">
        <w:rPr>
          <w:rFonts w:eastAsia="Times New Roman" w:cstheme="minorHAnsi"/>
          <w:sz w:val="24"/>
          <w:szCs w:val="24"/>
          <w:lang w:eastAsia="en-GB"/>
        </w:rPr>
        <w:t>needs;</w:t>
      </w:r>
      <w:proofErr w:type="gramEnd"/>
    </w:p>
    <w:p w14:paraId="35F959FB"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r w:rsidRPr="006753A4">
        <w:rPr>
          <w:rFonts w:eastAsia="Times New Roman" w:cstheme="minorHAnsi"/>
          <w:sz w:val="24"/>
          <w:szCs w:val="24"/>
          <w:lang w:eastAsia="en-GB"/>
        </w:rPr>
        <w:t xml:space="preserve">- Access to inclusive services that were available before shelter at home orders and lock </w:t>
      </w:r>
      <w:proofErr w:type="gramStart"/>
      <w:r w:rsidRPr="006753A4">
        <w:rPr>
          <w:rFonts w:eastAsia="Times New Roman" w:cstheme="minorHAnsi"/>
          <w:sz w:val="24"/>
          <w:szCs w:val="24"/>
          <w:lang w:eastAsia="en-GB"/>
        </w:rPr>
        <w:t>downs;</w:t>
      </w:r>
      <w:proofErr w:type="gramEnd"/>
    </w:p>
    <w:p w14:paraId="39FDC727"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r w:rsidRPr="006753A4">
        <w:rPr>
          <w:rFonts w:eastAsia="Times New Roman" w:cstheme="minorHAnsi"/>
          <w:sz w:val="24"/>
          <w:szCs w:val="24"/>
          <w:lang w:eastAsia="en-GB"/>
        </w:rPr>
        <w:t xml:space="preserve">- Increase in gender based and domestic violence since home visits and similar social services have been </w:t>
      </w:r>
      <w:proofErr w:type="gramStart"/>
      <w:r w:rsidRPr="006753A4">
        <w:rPr>
          <w:rFonts w:eastAsia="Times New Roman" w:cstheme="minorHAnsi"/>
          <w:sz w:val="24"/>
          <w:szCs w:val="24"/>
          <w:lang w:eastAsia="en-GB"/>
        </w:rPr>
        <w:t>stopped;</w:t>
      </w:r>
      <w:proofErr w:type="gramEnd"/>
      <w:r w:rsidRPr="006753A4">
        <w:rPr>
          <w:rFonts w:eastAsia="Times New Roman" w:cstheme="minorHAnsi"/>
          <w:sz w:val="24"/>
          <w:szCs w:val="24"/>
          <w:lang w:eastAsia="en-GB"/>
        </w:rPr>
        <w:t xml:space="preserve"> </w:t>
      </w:r>
    </w:p>
    <w:p w14:paraId="57CDFC42"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r w:rsidRPr="006753A4">
        <w:rPr>
          <w:rFonts w:eastAsia="Times New Roman" w:cstheme="minorHAnsi"/>
          <w:sz w:val="24"/>
          <w:szCs w:val="24"/>
          <w:lang w:eastAsia="en-GB"/>
        </w:rPr>
        <w:t>- Emotional well-being; and</w:t>
      </w:r>
    </w:p>
    <w:p w14:paraId="145348B2"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r w:rsidRPr="006753A4">
        <w:rPr>
          <w:rFonts w:eastAsia="Times New Roman" w:cstheme="minorHAnsi"/>
          <w:sz w:val="24"/>
          <w:szCs w:val="24"/>
          <w:lang w:eastAsia="en-GB"/>
        </w:rPr>
        <w:lastRenderedPageBreak/>
        <w:t xml:space="preserve">- Unchecked and unclear rules for persons with disabilities living with caregivers or in institutions. </w:t>
      </w:r>
    </w:p>
    <w:p w14:paraId="5A188A89" w14:textId="77777777" w:rsidR="001C1A52" w:rsidRPr="006753A4" w:rsidRDefault="001C1A52" w:rsidP="001C1A52">
      <w:pPr>
        <w:pStyle w:val="ListParagraph"/>
        <w:shd w:val="clear" w:color="auto" w:fill="FFFFFF"/>
        <w:spacing w:after="0" w:line="240" w:lineRule="auto"/>
        <w:ind w:left="1080"/>
        <w:jc w:val="both"/>
        <w:rPr>
          <w:rFonts w:eastAsia="Times New Roman" w:cstheme="minorHAnsi"/>
          <w:sz w:val="24"/>
          <w:szCs w:val="24"/>
          <w:lang w:eastAsia="en-GB"/>
        </w:rPr>
      </w:pPr>
    </w:p>
    <w:p w14:paraId="7A879A9C" w14:textId="77777777" w:rsidR="001C1A52" w:rsidRPr="00B77109" w:rsidRDefault="001C1A52" w:rsidP="001C1A52">
      <w:pPr>
        <w:pStyle w:val="ListParagraph"/>
        <w:numPr>
          <w:ilvl w:val="0"/>
          <w:numId w:val="9"/>
        </w:numPr>
        <w:shd w:val="clear" w:color="auto" w:fill="FFFFFF"/>
        <w:spacing w:after="0" w:line="240" w:lineRule="auto"/>
        <w:ind w:left="720"/>
        <w:jc w:val="both"/>
        <w:rPr>
          <w:rFonts w:eastAsia="Times New Roman" w:cstheme="minorHAnsi"/>
          <w:color w:val="000000"/>
          <w:sz w:val="24"/>
          <w:szCs w:val="24"/>
          <w:lang w:eastAsia="en-GB"/>
        </w:rPr>
      </w:pPr>
      <w:r w:rsidRPr="006753A4">
        <w:rPr>
          <w:rFonts w:eastAsia="Times New Roman" w:cstheme="minorHAnsi"/>
          <w:sz w:val="24"/>
          <w:szCs w:val="24"/>
          <w:u w:val="single"/>
          <w:lang w:eastAsia="en-GB"/>
        </w:rPr>
        <w:t>Best Practices</w:t>
      </w:r>
      <w:r w:rsidRPr="006753A4">
        <w:rPr>
          <w:rFonts w:eastAsia="Times New Roman" w:cstheme="minorHAnsi"/>
          <w:sz w:val="24"/>
          <w:szCs w:val="24"/>
          <w:lang w:eastAsia="en-GB"/>
        </w:rPr>
        <w:t xml:space="preserve"> - In terms of best practices, 26% of respondents said that they did not have any good practices to share. It is worth noting that one respondent, who self-reported as a women </w:t>
      </w:r>
      <w:r>
        <w:rPr>
          <w:rFonts w:eastAsia="Times New Roman" w:cstheme="minorHAnsi"/>
          <w:color w:val="000000"/>
          <w:sz w:val="24"/>
          <w:szCs w:val="24"/>
          <w:lang w:eastAsia="en-GB"/>
        </w:rPr>
        <w:t>with a hearing impairment in South Africa,</w:t>
      </w:r>
      <w:r w:rsidRPr="00B77109">
        <w:rPr>
          <w:rFonts w:eastAsia="Times New Roman" w:cstheme="minorHAnsi"/>
          <w:color w:val="000000"/>
          <w:sz w:val="24"/>
          <w:szCs w:val="24"/>
          <w:lang w:eastAsia="en-GB"/>
        </w:rPr>
        <w:t xml:space="preserve"> said that </w:t>
      </w:r>
      <w:r>
        <w:rPr>
          <w:rFonts w:eastAsia="Times New Roman" w:cstheme="minorHAnsi"/>
          <w:color w:val="000000"/>
          <w:sz w:val="24"/>
          <w:szCs w:val="24"/>
          <w:lang w:eastAsia="en-GB"/>
        </w:rPr>
        <w:t>she</w:t>
      </w:r>
      <w:r w:rsidRPr="00B77109">
        <w:rPr>
          <w:rFonts w:eastAsia="Times New Roman" w:cstheme="minorHAnsi"/>
          <w:color w:val="000000"/>
          <w:sz w:val="24"/>
          <w:szCs w:val="24"/>
          <w:lang w:eastAsia="en-GB"/>
        </w:rPr>
        <w:t xml:space="preserve"> didn’t have any best practices to share because </w:t>
      </w:r>
      <w:r>
        <w:rPr>
          <w:rFonts w:eastAsia="Times New Roman" w:cstheme="minorHAnsi"/>
          <w:color w:val="000000"/>
          <w:sz w:val="24"/>
          <w:szCs w:val="24"/>
          <w:lang w:eastAsia="en-GB"/>
        </w:rPr>
        <w:t>f</w:t>
      </w:r>
      <w:r w:rsidRPr="00B77109">
        <w:rPr>
          <w:rFonts w:eastAsia="Times New Roman" w:cstheme="minorHAnsi"/>
          <w:color w:val="000000"/>
          <w:sz w:val="24"/>
          <w:szCs w:val="24"/>
          <w:lang w:eastAsia="en-GB"/>
        </w:rPr>
        <w:t>ace-mask</w:t>
      </w:r>
      <w:r>
        <w:rPr>
          <w:rFonts w:eastAsia="Times New Roman" w:cstheme="minorHAnsi"/>
          <w:color w:val="000000"/>
          <w:sz w:val="24"/>
          <w:szCs w:val="24"/>
          <w:lang w:eastAsia="en-GB"/>
        </w:rPr>
        <w:t>s</w:t>
      </w:r>
      <w:r w:rsidRPr="00B77109">
        <w:rPr>
          <w:rFonts w:eastAsia="Times New Roman" w:cstheme="minorHAnsi"/>
          <w:color w:val="000000"/>
          <w:sz w:val="24"/>
          <w:szCs w:val="24"/>
          <w:lang w:eastAsia="en-GB"/>
        </w:rPr>
        <w:t xml:space="preserve"> hinders </w:t>
      </w:r>
      <w:r>
        <w:rPr>
          <w:rFonts w:eastAsia="Times New Roman" w:cstheme="minorHAnsi"/>
          <w:color w:val="000000"/>
          <w:sz w:val="24"/>
          <w:szCs w:val="24"/>
          <w:lang w:eastAsia="en-GB"/>
        </w:rPr>
        <w:t xml:space="preserve">her ability to </w:t>
      </w:r>
      <w:r w:rsidRPr="00B77109">
        <w:rPr>
          <w:rFonts w:eastAsia="Times New Roman" w:cstheme="minorHAnsi"/>
          <w:color w:val="000000"/>
          <w:sz w:val="24"/>
          <w:szCs w:val="24"/>
          <w:lang w:eastAsia="en-GB"/>
        </w:rPr>
        <w:t>communicat</w:t>
      </w:r>
      <w:r>
        <w:rPr>
          <w:rFonts w:eastAsia="Times New Roman" w:cstheme="minorHAnsi"/>
          <w:color w:val="000000"/>
          <w:sz w:val="24"/>
          <w:szCs w:val="24"/>
          <w:lang w:eastAsia="en-GB"/>
        </w:rPr>
        <w:t>e with others</w:t>
      </w:r>
      <w:r w:rsidRPr="00B77109">
        <w:rPr>
          <w:rFonts w:eastAsia="Times New Roman" w:cstheme="minorHAnsi"/>
          <w:color w:val="000000"/>
          <w:sz w:val="24"/>
          <w:szCs w:val="24"/>
          <w:lang w:eastAsia="en-GB"/>
        </w:rPr>
        <w:t xml:space="preserve">. </w:t>
      </w:r>
    </w:p>
    <w:p w14:paraId="68BA5033" w14:textId="547B1314" w:rsidR="0044459B" w:rsidRPr="00271412" w:rsidRDefault="0044459B" w:rsidP="00AF486F">
      <w:pPr>
        <w:spacing w:line="276" w:lineRule="auto"/>
        <w:jc w:val="both"/>
        <w:rPr>
          <w:rFonts w:ascii="Calibri" w:hAnsi="Calibri" w:cs="Calibri"/>
          <w:szCs w:val="24"/>
        </w:rPr>
      </w:pPr>
    </w:p>
    <w:sectPr w:rsidR="0044459B" w:rsidRPr="00271412" w:rsidSect="00C753B3">
      <w:headerReference w:type="even" r:id="rId12"/>
      <w:footerReference w:type="default" r:id="rId13"/>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D06A" w14:textId="77777777" w:rsidR="00872D97" w:rsidRDefault="00872D97" w:rsidP="00FE6CD2">
      <w:pPr>
        <w:spacing w:after="0" w:line="240" w:lineRule="auto"/>
      </w:pPr>
      <w:r>
        <w:separator/>
      </w:r>
    </w:p>
  </w:endnote>
  <w:endnote w:type="continuationSeparator" w:id="0">
    <w:p w14:paraId="1A36AB10" w14:textId="77777777" w:rsidR="00872D97" w:rsidRDefault="00872D97"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54C99C25" w14:textId="77777777" w:rsidR="00557E35" w:rsidRDefault="00557E35">
        <w:pPr>
          <w:pStyle w:val="Footer"/>
          <w:jc w:val="right"/>
        </w:pPr>
        <w:r>
          <w:fldChar w:fldCharType="begin"/>
        </w:r>
        <w:r>
          <w:instrText xml:space="preserve"> PAGE   \* MERGEFORMAT </w:instrText>
        </w:r>
        <w:r>
          <w:fldChar w:fldCharType="separate"/>
        </w:r>
        <w:r w:rsidR="0087294B">
          <w:rPr>
            <w:noProof/>
          </w:rPr>
          <w:t>2</w:t>
        </w:r>
        <w:r>
          <w:rPr>
            <w:noProof/>
          </w:rPr>
          <w:fldChar w:fldCharType="end"/>
        </w:r>
      </w:p>
    </w:sdtContent>
  </w:sdt>
  <w:p w14:paraId="55782AAE" w14:textId="77777777" w:rsidR="00557E35" w:rsidRDefault="0055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67518" w14:textId="77777777" w:rsidR="00872D97" w:rsidRDefault="00872D97" w:rsidP="00FE6CD2">
      <w:pPr>
        <w:spacing w:after="0" w:line="240" w:lineRule="auto"/>
      </w:pPr>
      <w:r>
        <w:separator/>
      </w:r>
    </w:p>
  </w:footnote>
  <w:footnote w:type="continuationSeparator" w:id="0">
    <w:p w14:paraId="0BEDE956" w14:textId="77777777" w:rsidR="00872D97" w:rsidRDefault="00872D97"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CDC6" w14:textId="77777777" w:rsidR="00557E35" w:rsidRDefault="005E6B9B">
    <w:pPr>
      <w:pStyle w:val="Header"/>
    </w:pPr>
    <w:r>
      <w:rPr>
        <w:noProof/>
        <w:lang w:val="en-GB" w:eastAsia="en-GB"/>
      </w:rPr>
      <w:pict w14:anchorId="4B6C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Watermark IDDC" style="position:absolute;margin-left:0;margin-top:0;width:538.2pt;height:765.9pt;z-index:-251658752;mso-wrap-edited:f;mso-width-percent:0;mso-height-percent:0;mso-position-horizontal:center;mso-position-horizontal-relative:margin;mso-position-vertical:center;mso-position-vertical-relative:margin;mso-width-percent:0;mso-height-percent:0"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multilevel"/>
    <w:tmpl w:val="D2AEE59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809F2"/>
    <w:multiLevelType w:val="hybridMultilevel"/>
    <w:tmpl w:val="F1BAF66C"/>
    <w:lvl w:ilvl="0" w:tplc="3CF023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93"/>
    <w:rsid w:val="00001A9C"/>
    <w:rsid w:val="000033E0"/>
    <w:rsid w:val="0001514F"/>
    <w:rsid w:val="0006328B"/>
    <w:rsid w:val="000A7581"/>
    <w:rsid w:val="000A7FCA"/>
    <w:rsid w:val="000C1F2E"/>
    <w:rsid w:val="000D637B"/>
    <w:rsid w:val="000F6A44"/>
    <w:rsid w:val="001326D2"/>
    <w:rsid w:val="001443F8"/>
    <w:rsid w:val="0015685E"/>
    <w:rsid w:val="00162219"/>
    <w:rsid w:val="00163E88"/>
    <w:rsid w:val="00185544"/>
    <w:rsid w:val="0019096E"/>
    <w:rsid w:val="001C1A52"/>
    <w:rsid w:val="001C5399"/>
    <w:rsid w:val="001F5050"/>
    <w:rsid w:val="001F6FB2"/>
    <w:rsid w:val="00240702"/>
    <w:rsid w:val="00256071"/>
    <w:rsid w:val="00262495"/>
    <w:rsid w:val="002624CA"/>
    <w:rsid w:val="00270994"/>
    <w:rsid w:val="00271412"/>
    <w:rsid w:val="00291944"/>
    <w:rsid w:val="002B7696"/>
    <w:rsid w:val="002C45DB"/>
    <w:rsid w:val="002D61BD"/>
    <w:rsid w:val="002E0346"/>
    <w:rsid w:val="00305425"/>
    <w:rsid w:val="0031569F"/>
    <w:rsid w:val="00350E1F"/>
    <w:rsid w:val="003575A2"/>
    <w:rsid w:val="00375200"/>
    <w:rsid w:val="003820B0"/>
    <w:rsid w:val="00383209"/>
    <w:rsid w:val="00386964"/>
    <w:rsid w:val="003E5959"/>
    <w:rsid w:val="00406793"/>
    <w:rsid w:val="00407438"/>
    <w:rsid w:val="00423811"/>
    <w:rsid w:val="004419BB"/>
    <w:rsid w:val="0044459B"/>
    <w:rsid w:val="00454EF3"/>
    <w:rsid w:val="004579AB"/>
    <w:rsid w:val="0047096F"/>
    <w:rsid w:val="004844C0"/>
    <w:rsid w:val="00490117"/>
    <w:rsid w:val="004A6C52"/>
    <w:rsid w:val="004B6A54"/>
    <w:rsid w:val="004B7461"/>
    <w:rsid w:val="004C058C"/>
    <w:rsid w:val="004D4252"/>
    <w:rsid w:val="004D46C3"/>
    <w:rsid w:val="004D488C"/>
    <w:rsid w:val="004D50D8"/>
    <w:rsid w:val="004E1B77"/>
    <w:rsid w:val="004F3CFE"/>
    <w:rsid w:val="00502871"/>
    <w:rsid w:val="00506D3D"/>
    <w:rsid w:val="00554A1C"/>
    <w:rsid w:val="00557E35"/>
    <w:rsid w:val="00571C22"/>
    <w:rsid w:val="00581D2D"/>
    <w:rsid w:val="005B7397"/>
    <w:rsid w:val="005C3B2C"/>
    <w:rsid w:val="005C6870"/>
    <w:rsid w:val="005E6B9B"/>
    <w:rsid w:val="00611F9E"/>
    <w:rsid w:val="0065411F"/>
    <w:rsid w:val="00695AAA"/>
    <w:rsid w:val="006D5333"/>
    <w:rsid w:val="00710B4D"/>
    <w:rsid w:val="00712599"/>
    <w:rsid w:val="00712638"/>
    <w:rsid w:val="00724D55"/>
    <w:rsid w:val="007402F6"/>
    <w:rsid w:val="00740E07"/>
    <w:rsid w:val="00747472"/>
    <w:rsid w:val="00751B70"/>
    <w:rsid w:val="0075563E"/>
    <w:rsid w:val="007C179C"/>
    <w:rsid w:val="007C4510"/>
    <w:rsid w:val="007E3037"/>
    <w:rsid w:val="007F6303"/>
    <w:rsid w:val="00804752"/>
    <w:rsid w:val="008064F9"/>
    <w:rsid w:val="00810F31"/>
    <w:rsid w:val="008518B4"/>
    <w:rsid w:val="00865326"/>
    <w:rsid w:val="00865739"/>
    <w:rsid w:val="0087294B"/>
    <w:rsid w:val="00872D97"/>
    <w:rsid w:val="008A5EBF"/>
    <w:rsid w:val="008B37C3"/>
    <w:rsid w:val="008B7F79"/>
    <w:rsid w:val="00905B96"/>
    <w:rsid w:val="00915813"/>
    <w:rsid w:val="009240DB"/>
    <w:rsid w:val="00925F96"/>
    <w:rsid w:val="0094118F"/>
    <w:rsid w:val="009747DA"/>
    <w:rsid w:val="00975531"/>
    <w:rsid w:val="00977D64"/>
    <w:rsid w:val="00987379"/>
    <w:rsid w:val="00987DC8"/>
    <w:rsid w:val="009A324D"/>
    <w:rsid w:val="009A4012"/>
    <w:rsid w:val="009D2AA7"/>
    <w:rsid w:val="009E1A7F"/>
    <w:rsid w:val="00A1247D"/>
    <w:rsid w:val="00A24B93"/>
    <w:rsid w:val="00A26B62"/>
    <w:rsid w:val="00A26EF5"/>
    <w:rsid w:val="00A43BA4"/>
    <w:rsid w:val="00A46F79"/>
    <w:rsid w:val="00A771E7"/>
    <w:rsid w:val="00A9192A"/>
    <w:rsid w:val="00AB49FA"/>
    <w:rsid w:val="00AC6CE8"/>
    <w:rsid w:val="00AF486F"/>
    <w:rsid w:val="00B16951"/>
    <w:rsid w:val="00B32B2A"/>
    <w:rsid w:val="00B357FF"/>
    <w:rsid w:val="00B911E2"/>
    <w:rsid w:val="00B9629B"/>
    <w:rsid w:val="00BA5541"/>
    <w:rsid w:val="00BE74F6"/>
    <w:rsid w:val="00C21147"/>
    <w:rsid w:val="00C365C3"/>
    <w:rsid w:val="00C40849"/>
    <w:rsid w:val="00C412E1"/>
    <w:rsid w:val="00C47C79"/>
    <w:rsid w:val="00C573CE"/>
    <w:rsid w:val="00C753B3"/>
    <w:rsid w:val="00C7772F"/>
    <w:rsid w:val="00C8209F"/>
    <w:rsid w:val="00C83C3E"/>
    <w:rsid w:val="00C85BA3"/>
    <w:rsid w:val="00C92B23"/>
    <w:rsid w:val="00CA1055"/>
    <w:rsid w:val="00CA1952"/>
    <w:rsid w:val="00CA541C"/>
    <w:rsid w:val="00CB2146"/>
    <w:rsid w:val="00CC49D2"/>
    <w:rsid w:val="00CE37E8"/>
    <w:rsid w:val="00CF1FA6"/>
    <w:rsid w:val="00CF3BB7"/>
    <w:rsid w:val="00CF4590"/>
    <w:rsid w:val="00CF79B2"/>
    <w:rsid w:val="00D000FF"/>
    <w:rsid w:val="00D05F0F"/>
    <w:rsid w:val="00D07171"/>
    <w:rsid w:val="00D13F98"/>
    <w:rsid w:val="00D21344"/>
    <w:rsid w:val="00D279EA"/>
    <w:rsid w:val="00D458C7"/>
    <w:rsid w:val="00D54E21"/>
    <w:rsid w:val="00D87EF6"/>
    <w:rsid w:val="00DA52D8"/>
    <w:rsid w:val="00DB67BB"/>
    <w:rsid w:val="00DB7EB7"/>
    <w:rsid w:val="00DD0457"/>
    <w:rsid w:val="00DD2FBF"/>
    <w:rsid w:val="00DD3DD7"/>
    <w:rsid w:val="00DD7D31"/>
    <w:rsid w:val="00E33EB2"/>
    <w:rsid w:val="00E436AA"/>
    <w:rsid w:val="00E53F79"/>
    <w:rsid w:val="00E70AC4"/>
    <w:rsid w:val="00EE5566"/>
    <w:rsid w:val="00EE6522"/>
    <w:rsid w:val="00EF2B67"/>
    <w:rsid w:val="00EF3BD8"/>
    <w:rsid w:val="00EF41B7"/>
    <w:rsid w:val="00EF4437"/>
    <w:rsid w:val="00F02DD1"/>
    <w:rsid w:val="00F22F09"/>
    <w:rsid w:val="00F35534"/>
    <w:rsid w:val="00F62EAD"/>
    <w:rsid w:val="00F7087D"/>
    <w:rsid w:val="00F771BA"/>
    <w:rsid w:val="00F9158F"/>
    <w:rsid w:val="00F95A68"/>
    <w:rsid w:val="00F95CAB"/>
    <w:rsid w:val="00FA11FA"/>
    <w:rsid w:val="00FA57AD"/>
    <w:rsid w:val="00FB5C95"/>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9ACA3"/>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HTMLPreformatted">
    <w:name w:val="HTML Preformatted"/>
    <w:basedOn w:val="Normal"/>
    <w:link w:val="HTMLPreformattedChar"/>
    <w:uiPriority w:val="99"/>
    <w:semiHidden/>
    <w:unhideWhenUsed/>
    <w:rsid w:val="00CA19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952"/>
    <w:rPr>
      <w:rFonts w:ascii="Consolas" w:hAnsi="Consolas"/>
      <w:sz w:val="20"/>
      <w:szCs w:val="20"/>
    </w:rPr>
  </w:style>
  <w:style w:type="table" w:styleId="GridTable5Dark-Accent4">
    <w:name w:val="Grid Table 5 Dark Accent 4"/>
    <w:basedOn w:val="TableNormal"/>
    <w:uiPriority w:val="50"/>
    <w:rsid w:val="001C1A52"/>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87114">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1159611292">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479760432">
      <w:bodyDiv w:val="1"/>
      <w:marLeft w:val="0"/>
      <w:marRight w:val="0"/>
      <w:marTop w:val="0"/>
      <w:marBottom w:val="0"/>
      <w:divBdr>
        <w:top w:val="none" w:sz="0" w:space="0" w:color="auto"/>
        <w:left w:val="none" w:sz="0" w:space="0" w:color="auto"/>
        <w:bottom w:val="none" w:sz="0" w:space="0" w:color="auto"/>
        <w:right w:val="none" w:sz="0" w:space="0" w:color="auto"/>
      </w:divBdr>
    </w:div>
    <w:div w:id="1561361202">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1978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elaniekawanochiu\Dropbox%20(DRF)\STRATEGY%20and%20M&amp;E\Disability%20Rights%20Monitor\AllSubmissions_31May2020_plus25to31May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a:t>
            </a:r>
            <a:r>
              <a:rPr lang="en-US" baseline="0"/>
              <a:t> Presenting Number of Responses from Countries with More Than One Respondent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'Weekly Data Analysis'!$B$1</c:f>
              <c:strCache>
                <c:ptCount val="1"/>
              </c:strCache>
            </c:strRef>
          </c:tx>
          <c:spPr>
            <a:solidFill>
              <a:schemeClr val="accent1"/>
            </a:solidFill>
            <a:ln>
              <a:noFill/>
            </a:ln>
            <a:effectLst/>
          </c:spPr>
          <c:invertIfNegative val="0"/>
          <c:val>
            <c:numRef>
              <c:f>'Weekly Data Analysis'!$B$2:$B$9</c:f>
            </c:numRef>
          </c:val>
          <c:extLst>
            <c:ext xmlns:c15="http://schemas.microsoft.com/office/drawing/2012/chart" uri="{02D57815-91ED-43cb-92C2-25804820EDAC}">
              <c15:filteredCategoryTitle>
                <c15:cat>
                  <c:multiLvlStrRef>
                    <c:extLst>
                      <c:ext uri="{02D57815-91ED-43cb-92C2-25804820EDAC}">
                        <c15:formulaRef>
                          <c15:sqref>'Weekly Data Analysis'!$A$2:$A$9</c15:sqref>
                        </c15:formulaRef>
                      </c:ext>
                    </c:extLst>
                  </c:multiLvlStrRef>
                </c15:cat>
              </c15:filteredCategoryTitle>
            </c:ext>
            <c:ext xmlns:c16="http://schemas.microsoft.com/office/drawing/2014/chart" uri="{C3380CC4-5D6E-409C-BE32-E72D297353CC}">
              <c16:uniqueId val="{00000000-F378-3446-8327-B4E105C67ED7}"/>
            </c:ext>
          </c:extLst>
        </c:ser>
        <c:ser>
          <c:idx val="1"/>
          <c:order val="1"/>
          <c:tx>
            <c:strRef>
              <c:f>'Weekly Data Analysis'!$C$1</c:f>
              <c:strCache>
                <c:ptCount val="1"/>
              </c:strCache>
            </c:strRef>
          </c:tx>
          <c:spPr>
            <a:solidFill>
              <a:schemeClr val="accent2"/>
            </a:solidFill>
            <a:ln>
              <a:noFill/>
            </a:ln>
            <a:effectLst/>
          </c:spPr>
          <c:invertIfNegative val="0"/>
          <c:val>
            <c:numRef>
              <c:f>'Weekly Data Analysis'!$C$2:$C$9</c:f>
            </c:numRef>
          </c:val>
          <c:extLst>
            <c:ext xmlns:c15="http://schemas.microsoft.com/office/drawing/2012/chart" uri="{02D57815-91ED-43cb-92C2-25804820EDAC}">
              <c15:filteredCategoryTitle>
                <c15:cat>
                  <c:multiLvlStrRef>
                    <c:extLst>
                      <c:ext uri="{02D57815-91ED-43cb-92C2-25804820EDAC}">
                        <c15:formulaRef>
                          <c15:sqref>'Weekly Data Analysis'!$A$2:$A$9</c15:sqref>
                        </c15:formulaRef>
                      </c:ext>
                    </c:extLst>
                  </c:multiLvlStrRef>
                </c15:cat>
              </c15:filteredCategoryTitle>
            </c:ext>
            <c:ext xmlns:c16="http://schemas.microsoft.com/office/drawing/2014/chart" uri="{C3380CC4-5D6E-409C-BE32-E72D297353CC}">
              <c16:uniqueId val="{00000001-F378-3446-8327-B4E105C67ED7}"/>
            </c:ext>
          </c:extLst>
        </c:ser>
        <c:dLbls>
          <c:showLegendKey val="0"/>
          <c:showVal val="0"/>
          <c:showCatName val="0"/>
          <c:showSerName val="0"/>
          <c:showPercent val="0"/>
          <c:showBubbleSize val="0"/>
        </c:dLbls>
        <c:gapWidth val="124"/>
        <c:overlap val="100"/>
        <c:axId val="891999679"/>
        <c:axId val="892001359"/>
      </c:barChart>
      <c:catAx>
        <c:axId val="891999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001359"/>
        <c:crosses val="autoZero"/>
        <c:auto val="1"/>
        <c:lblAlgn val="ctr"/>
        <c:lblOffset val="100"/>
        <c:noMultiLvlLbl val="0"/>
      </c:catAx>
      <c:valAx>
        <c:axId val="89200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999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870EAA-CF16-40E1-80B3-C11B5827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D33F3-252A-449C-B6FF-65D8E6290EFE}">
  <ds:schemaRefs>
    <ds:schemaRef ds:uri="http://schemas.microsoft.com/sharepoint/v3/contenttype/forms"/>
  </ds:schemaRefs>
</ds:datastoreItem>
</file>

<file path=customXml/itemProps3.xml><?xml version="1.0" encoding="utf-8"?>
<ds:datastoreItem xmlns:ds="http://schemas.openxmlformats.org/officeDocument/2006/customXml" ds:itemID="{9283473B-1C1A-4B98-B28B-41D12E9C6DE3}">
  <ds:schemaRefs>
    <ds:schemaRef ds:uri="http://purl.org/dc/elements/1.1/"/>
    <ds:schemaRef ds:uri="http://schemas.openxmlformats.org/package/2006/metadata/core-properties"/>
    <ds:schemaRef ds:uri="ab96a043-8ff1-4762-add4-7613ae9839fa"/>
    <ds:schemaRef ds:uri="http://purl.org/dc/terms/"/>
    <ds:schemaRef ds:uri="http://schemas.microsoft.com/office/infopath/2007/PartnerControls"/>
    <ds:schemaRef ds:uri="http://schemas.microsoft.com/office/2006/documentManagement/types"/>
    <ds:schemaRef ds:uri="http://schemas.microsoft.com/office/2006/metadata/properties"/>
    <ds:schemaRef ds:uri="b8f99c06-dc64-4ad0-a4b1-77603161b6e0"/>
    <ds:schemaRef ds:uri="http://www.w3.org/XML/1998/namespace"/>
    <ds:schemaRef ds:uri="http://purl.org/dc/dcmitype/"/>
  </ds:schemaRefs>
</ds:datastoreItem>
</file>

<file path=customXml/itemProps4.xml><?xml version="1.0" encoding="utf-8"?>
<ds:datastoreItem xmlns:ds="http://schemas.openxmlformats.org/officeDocument/2006/customXml" ds:itemID="{EC7048F9-43CB-44A6-8C2C-E649B98F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1</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Steven Allen</cp:lastModifiedBy>
  <cp:revision>2</cp:revision>
  <cp:lastPrinted>2019-05-03T14:47:00Z</cp:lastPrinted>
  <dcterms:created xsi:type="dcterms:W3CDTF">2020-06-09T10:22:00Z</dcterms:created>
  <dcterms:modified xsi:type="dcterms:W3CDTF">2020-06-09T10:22:00Z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